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58466EA4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B417EB">
        <w:t>1</w:t>
      </w:r>
      <w:r w:rsidR="002220F3">
        <w:t>9</w:t>
      </w:r>
      <w:r w:rsidR="00590CFC">
        <w:t>9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590CFC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590CFC" w:rsidRDefault="00590CFC" w:rsidP="00590CFC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358917A2" w:rsidR="00590CFC" w:rsidRDefault="00590CFC" w:rsidP="00590CFC">
            <w:pPr>
              <w:pStyle w:val="Textoindependiente"/>
              <w:ind w:right="179"/>
              <w:jc w:val="both"/>
            </w:pPr>
            <w:r w:rsidRPr="00A44C0F">
              <w:rPr>
                <w:rFonts w:asciiTheme="minorHAnsi" w:hAnsiTheme="minorHAnsi" w:cstheme="minorHAnsi"/>
                <w:lang w:val="es-PE"/>
              </w:rPr>
              <w:t>UN/A (01) ESPECIALISTA CONTABLE II</w:t>
            </w:r>
          </w:p>
        </w:tc>
      </w:tr>
      <w:tr w:rsidR="00590CFC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590CFC" w:rsidRDefault="00590CFC" w:rsidP="00590CFC">
            <w:pPr>
              <w:pStyle w:val="Textoindependiente"/>
              <w:ind w:right="179"/>
            </w:pPr>
          </w:p>
          <w:p w14:paraId="2A272EC6" w14:textId="2E72229A" w:rsidR="00590CFC" w:rsidRDefault="00590CFC" w:rsidP="00590CFC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590CFC" w:rsidRDefault="00590CFC" w:rsidP="00590CFC">
            <w:pPr>
              <w:pStyle w:val="Textoindependiente"/>
              <w:ind w:right="179"/>
            </w:pPr>
          </w:p>
          <w:p w14:paraId="3C3A2CEF" w14:textId="2A2F0A39" w:rsidR="00590CFC" w:rsidRPr="000860D7" w:rsidRDefault="00590CFC" w:rsidP="00590CFC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UNIDAD DE CONTABILIDAD Y TESORERÍA</w:t>
            </w:r>
            <w:r w:rsidRPr="000860D7">
              <w:rPr>
                <w:rFonts w:asciiTheme="minorHAnsi" w:hAnsiTheme="minorHAnsi" w:cstheme="minorHAnsi"/>
                <w:b/>
                <w:lang w:val="es-PE"/>
              </w:rPr>
              <w:t xml:space="preserve"> </w:t>
            </w:r>
          </w:p>
        </w:tc>
      </w:tr>
    </w:tbl>
    <w:p w14:paraId="26108671" w14:textId="05C7288F" w:rsidR="003A58F2" w:rsidRDefault="003A58F2" w:rsidP="00B65E13">
      <w:pPr>
        <w:rPr>
          <w:b/>
          <w:sz w:val="24"/>
        </w:rPr>
      </w:pPr>
    </w:p>
    <w:p w14:paraId="446BB736" w14:textId="6855581C" w:rsidR="00590CFC" w:rsidRDefault="00590CFC" w:rsidP="00B65E13">
      <w:pPr>
        <w:rPr>
          <w:b/>
          <w:sz w:val="24"/>
        </w:rPr>
      </w:pPr>
    </w:p>
    <w:p w14:paraId="2D222774" w14:textId="77777777" w:rsidR="00590CFC" w:rsidRDefault="00590CFC" w:rsidP="00B65E13">
      <w:pPr>
        <w:rPr>
          <w:b/>
          <w:sz w:val="24"/>
        </w:rPr>
      </w:pPr>
    </w:p>
    <w:p w14:paraId="62D46C6E" w14:textId="502B5958" w:rsidR="003641D3" w:rsidRDefault="00FA320F" w:rsidP="00B65E13">
      <w:pPr>
        <w:pStyle w:val="Textoindependiente"/>
        <w:ind w:right="181"/>
        <w:jc w:val="center"/>
        <w:rPr>
          <w:spacing w:val="-2"/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2A0F5FA2" w14:textId="77777777" w:rsidR="000C154F" w:rsidRDefault="000C154F" w:rsidP="00B65E13">
      <w:pPr>
        <w:pStyle w:val="Textoindependiente"/>
        <w:ind w:right="181"/>
        <w:jc w:val="center"/>
      </w:pP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1652FC">
        <w:trPr>
          <w:trHeight w:val="50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1D23F9" w14:paraId="7FE6F8A3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5884" w14:textId="4056B7D3" w:rsidR="001D23F9" w:rsidRPr="00E6533F" w:rsidRDefault="001D23F9" w:rsidP="001D23F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E6533F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5572D791" w:rsidR="001D23F9" w:rsidRPr="001D23F9" w:rsidRDefault="00590CFC" w:rsidP="00590CFC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A44C0F">
              <w:rPr>
                <w:b/>
                <w:bCs/>
                <w:color w:val="000000"/>
              </w:rPr>
              <w:t>SIUCE MORENO JOANNA YANET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60" w14:textId="53344862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 w:rsidR="00590CFC">
              <w:rPr>
                <w:b/>
                <w:bCs/>
                <w:color w:val="000000"/>
              </w:rPr>
              <w:t>4</w:t>
            </w:r>
            <w:r w:rsidRPr="001E6F50">
              <w:rPr>
                <w:b/>
                <w:bCs/>
                <w:color w:val="000000"/>
              </w:rPr>
              <w:t>.</w:t>
            </w:r>
            <w:r w:rsidR="00590CFC">
              <w:rPr>
                <w:b/>
                <w:bCs/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331" w14:textId="230588BC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828" w14:textId="71E72A86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 w:rsidR="00590CFC">
              <w:rPr>
                <w:b/>
                <w:bCs/>
                <w:color w:val="000000"/>
              </w:rPr>
              <w:t>4</w:t>
            </w:r>
            <w:r w:rsidRPr="001E6F50">
              <w:rPr>
                <w:b/>
                <w:bCs/>
                <w:color w:val="000000"/>
              </w:rPr>
              <w:t>.</w:t>
            </w:r>
            <w:r w:rsidR="00590CFC">
              <w:rPr>
                <w:b/>
                <w:bCs/>
                <w:color w:val="000000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CC5" w14:textId="0F99FF23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</w:rPr>
              <w:t>APTO/A</w:t>
            </w:r>
          </w:p>
        </w:tc>
      </w:tr>
    </w:tbl>
    <w:p w14:paraId="76B4247C" w14:textId="77777777" w:rsidR="005A3D13" w:rsidRDefault="005A3D13" w:rsidP="000C154F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C7208CB" w14:textId="64B10906" w:rsidR="00F814F7" w:rsidRDefault="00F814F7" w:rsidP="000C154F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4F50F996" w:rsidR="00F814F7" w:rsidRDefault="00F814F7" w:rsidP="000C154F">
      <w:pPr>
        <w:ind w:left="755" w:right="1037" w:firstLine="98"/>
        <w:jc w:val="both"/>
        <w:rPr>
          <w:sz w:val="20"/>
        </w:rPr>
      </w:pPr>
    </w:p>
    <w:p w14:paraId="7083DC83" w14:textId="77777777" w:rsidR="00590CFC" w:rsidRDefault="00590CFC" w:rsidP="000C154F">
      <w:pPr>
        <w:ind w:left="755" w:right="1037" w:firstLine="98"/>
        <w:jc w:val="both"/>
        <w:rPr>
          <w:sz w:val="20"/>
        </w:rPr>
      </w:pPr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4E916505" w:rsidR="006C45A4" w:rsidRDefault="00FA320F" w:rsidP="002E6EFE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3ADD5C30" w14:textId="59268271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3566FD32" w14:textId="0DAF7272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1EC645C6" w14:textId="77777777" w:rsidR="00590CFC" w:rsidRDefault="00590CFC" w:rsidP="002E6EFE">
      <w:pPr>
        <w:spacing w:before="2"/>
        <w:ind w:left="426" w:right="530" w:hanging="284"/>
        <w:rPr>
          <w:sz w:val="20"/>
        </w:rPr>
      </w:pPr>
    </w:p>
    <w:p w14:paraId="66CA8A13" w14:textId="4B45C986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2E6EFE">
        <w:rPr>
          <w:sz w:val="20"/>
        </w:rPr>
        <w:t>1</w:t>
      </w:r>
      <w:r w:rsidR="00590CFC">
        <w:rPr>
          <w:sz w:val="20"/>
        </w:rPr>
        <w:t>3</w:t>
      </w:r>
      <w:r w:rsidR="000860D7">
        <w:rPr>
          <w:sz w:val="20"/>
        </w:rPr>
        <w:t xml:space="preserve"> de noviembre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376F85E9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C711256" w14:textId="77777777" w:rsidR="00590CFC" w:rsidRDefault="00590CFC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590CFC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860D7"/>
    <w:rsid w:val="000A56E8"/>
    <w:rsid w:val="000B44D9"/>
    <w:rsid w:val="000C154F"/>
    <w:rsid w:val="001652FC"/>
    <w:rsid w:val="001A47DB"/>
    <w:rsid w:val="001D23F9"/>
    <w:rsid w:val="001E6F50"/>
    <w:rsid w:val="001E798C"/>
    <w:rsid w:val="002220F3"/>
    <w:rsid w:val="0023244D"/>
    <w:rsid w:val="002E6EFE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90CFC"/>
    <w:rsid w:val="005A3D13"/>
    <w:rsid w:val="00613817"/>
    <w:rsid w:val="006427DF"/>
    <w:rsid w:val="006847C4"/>
    <w:rsid w:val="00692AC1"/>
    <w:rsid w:val="006C45A4"/>
    <w:rsid w:val="006E0B4F"/>
    <w:rsid w:val="00700F05"/>
    <w:rsid w:val="007335CD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B34C3"/>
    <w:rsid w:val="00D70986"/>
    <w:rsid w:val="00D90E9A"/>
    <w:rsid w:val="00DD4169"/>
    <w:rsid w:val="00DF3CAE"/>
    <w:rsid w:val="00E47991"/>
    <w:rsid w:val="00E5166E"/>
    <w:rsid w:val="00E6533F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12</cp:revision>
  <cp:lastPrinted>2025-09-09T23:02:00Z</cp:lastPrinted>
  <dcterms:created xsi:type="dcterms:W3CDTF">2025-10-29T17:31:00Z</dcterms:created>
  <dcterms:modified xsi:type="dcterms:W3CDTF">2025-11-13T16:28:00Z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