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77777777" w:rsidR="00E714EA" w:rsidRPr="003A50FF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50FF">
        <w:rPr>
          <w:rFonts w:asciiTheme="minorHAnsi" w:hAnsiTheme="minorHAnsi" w:cstheme="minorHAnsi"/>
          <w:b/>
        </w:rPr>
        <w:t>Nº</w:t>
      </w:r>
      <w:proofErr w:type="spellEnd"/>
      <w:r w:rsidRPr="003A50FF">
        <w:rPr>
          <w:rFonts w:asciiTheme="minorHAnsi" w:hAnsiTheme="minorHAnsi" w:cstheme="minorHAnsi"/>
          <w:b/>
        </w:rPr>
        <w:t xml:space="preserve"> 141-2025-CONADIS</w:t>
      </w:r>
    </w:p>
    <w:p w14:paraId="2DB2A900" w14:textId="77777777" w:rsidR="00E714EA" w:rsidRPr="003A50FF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50FF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77777777" w:rsidR="00E714EA" w:rsidRPr="003A50FF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50FF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50FF">
        <w:rPr>
          <w:rFonts w:ascii="Calibri-Bold" w:eastAsia="Times New Roman" w:hAnsi="Calibri-Bold" w:cs="Calibri-Bold"/>
          <w:b/>
          <w:bCs/>
          <w:lang w:val="es-PE" w:eastAsia="es-PE"/>
        </w:rPr>
        <w:tab/>
        <w:t>UN/A (01) ASISTENTE PARA EL DISEÑO DE POLÍTICAS</w:t>
      </w:r>
    </w:p>
    <w:p w14:paraId="6A78ACAD" w14:textId="77777777" w:rsidR="00E714EA" w:rsidRPr="003A50FF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77777777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3A50F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3A50FF">
        <w:rPr>
          <w:rFonts w:asciiTheme="minorHAnsi" w:hAnsiTheme="minorHAnsi" w:cstheme="minorHAnsi"/>
          <w:b/>
          <w:sz w:val="22"/>
          <w:szCs w:val="22"/>
        </w:rPr>
        <w:tab/>
      </w:r>
      <w:r w:rsidRPr="003A50FF">
        <w:rPr>
          <w:rFonts w:ascii="Calibri-Bold" w:hAnsi="Calibri-Bold" w:cs="Calibri-Bold"/>
          <w:b/>
          <w:bCs/>
          <w:lang w:val="es-PE" w:eastAsia="es-PE"/>
        </w:rPr>
        <w:t>SUBDIRECCIÓN DE POLÍTICAS PÚBLICAS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269DB991" w:rsidR="002E0FF0" w:rsidRPr="002E0FF0" w:rsidRDefault="00F57458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F5745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APARICIO ELIZALDE XIMENA NATALY</w:t>
            </w:r>
          </w:p>
        </w:tc>
        <w:tc>
          <w:tcPr>
            <w:tcW w:w="1134" w:type="dxa"/>
            <w:vAlign w:val="center"/>
          </w:tcPr>
          <w:p w14:paraId="171E3D6E" w14:textId="5F95A6D8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F5745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7E2750F1" w14:textId="23B73F43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="007822E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4</w:t>
            </w: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 w:rsidR="007822E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8</w:t>
            </w: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53F9E40A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2.</w:t>
            </w:r>
            <w:r w:rsidR="003A50F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67</w:t>
            </w:r>
          </w:p>
        </w:tc>
        <w:tc>
          <w:tcPr>
            <w:tcW w:w="850" w:type="dxa"/>
            <w:vAlign w:val="center"/>
          </w:tcPr>
          <w:p w14:paraId="57819274" w14:textId="7F7F05BA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9</w:t>
            </w:r>
            <w:r w:rsidR="003A50FF">
              <w:rPr>
                <w:rFonts w:ascii="Calibri" w:eastAsia="Calibri" w:hAnsi="Calibri" w:cs="Calibri"/>
                <w:b/>
                <w:bCs/>
                <w:lang w:eastAsia="en-US"/>
              </w:rPr>
              <w:t>1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</w:t>
            </w:r>
            <w:r w:rsidR="003A50FF">
              <w:rPr>
                <w:rFonts w:ascii="Calibri" w:eastAsia="Calibri" w:hAnsi="Calibri" w:cs="Calibri"/>
                <w:b/>
                <w:bCs/>
                <w:lang w:eastAsia="en-US"/>
              </w:rPr>
              <w:t>5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3A50FF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3A50FF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3A50FF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3A50FF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3A50FF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3A50FF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3A50FF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3A50FF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3A50FF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3A50FF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720A45B1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A50FF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3A50FF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3A50FF" w:rsidRPr="003A50FF">
        <w:rPr>
          <w:rFonts w:ascii="Calibri" w:eastAsia="Calibri" w:hAnsi="Calibri" w:cs="Calibri"/>
          <w:spacing w:val="-6"/>
          <w:sz w:val="22"/>
          <w:szCs w:val="22"/>
          <w:lang w:eastAsia="en-US"/>
        </w:rPr>
        <w:t>13</w:t>
      </w:r>
      <w:r w:rsidRPr="003A50FF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octubre d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3A50FF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E0FF0"/>
    <w:rsid w:val="003A50FF"/>
    <w:rsid w:val="00501CBE"/>
    <w:rsid w:val="005D2A42"/>
    <w:rsid w:val="00766CD8"/>
    <w:rsid w:val="007822E2"/>
    <w:rsid w:val="00854C3D"/>
    <w:rsid w:val="00B03DFA"/>
    <w:rsid w:val="00C112C6"/>
    <w:rsid w:val="00C62243"/>
    <w:rsid w:val="00E34BDA"/>
    <w:rsid w:val="00E714EA"/>
    <w:rsid w:val="00F1416C"/>
    <w:rsid w:val="00F57458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10</cp:revision>
  <dcterms:created xsi:type="dcterms:W3CDTF">2025-10-09T21:57:00Z</dcterms:created>
  <dcterms:modified xsi:type="dcterms:W3CDTF">2025-10-13T18:41:00Z</dcterms:modified>
</cp:coreProperties>
</file>