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8FAA85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87FAE">
        <w:rPr>
          <w:rFonts w:asciiTheme="minorHAnsi" w:hAnsiTheme="minorHAnsi"/>
          <w:b/>
        </w:rPr>
        <w:t>06</w:t>
      </w:r>
      <w:r w:rsidR="00827417">
        <w:rPr>
          <w:rFonts w:asciiTheme="minorHAnsi" w:hAnsiTheme="minorHAnsi"/>
          <w:b/>
        </w:rPr>
        <w:t>7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42E2797" w14:textId="744D680C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987FAE">
        <w:rPr>
          <w:rFonts w:asciiTheme="minorHAnsi" w:hAnsiTheme="minorHAnsi"/>
          <w:b/>
        </w:rPr>
        <w:t>ESPECIALISTA EN SEGURIDAD DE LA INFORMACIÓN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60D5E86C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D7096E">
        <w:rPr>
          <w:rFonts w:asciiTheme="minorHAnsi" w:hAnsiTheme="minorHAnsi"/>
          <w:b/>
        </w:rPr>
        <w:t xml:space="preserve">UNIDAD DE </w:t>
      </w:r>
      <w:r w:rsidR="00987FAE">
        <w:rPr>
          <w:rFonts w:asciiTheme="minorHAnsi" w:hAnsiTheme="minorHAnsi"/>
          <w:b/>
        </w:rPr>
        <w:t>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987FAE" w:rsidRPr="000432F5" w14:paraId="1D6F00C8" w14:textId="77777777" w:rsidTr="001336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987FAE" w:rsidRPr="00222E12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592B0C3E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 ALEXANDER CARRERA ROJAS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6FB87277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39680350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987FAE" w:rsidRPr="000432F5" w14:paraId="444722BE" w14:textId="77777777" w:rsidTr="00987FAE">
        <w:trPr>
          <w:trHeight w:val="3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987FAE" w:rsidRPr="00222E12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63818528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 LUIS HURTADO ESPINOZA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7A913B00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6653F372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987FAE" w:rsidRPr="000432F5" w14:paraId="7DB5A458" w14:textId="77777777" w:rsidTr="00027947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987FAE" w:rsidRPr="00222E12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7ADE392D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GUSTAVO ALFREDO MORALES CUEVA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120C3D1D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3DAF3F05" w:rsidR="00987FAE" w:rsidRPr="00EE3929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APTO*</w:t>
            </w:r>
          </w:p>
        </w:tc>
      </w:tr>
      <w:tr w:rsidR="00987FAE" w:rsidRPr="000432F5" w14:paraId="01261CDD" w14:textId="77777777" w:rsidTr="00027947">
        <w:trPr>
          <w:trHeight w:val="4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EC9C" w14:textId="2E2DFB5D" w:rsidR="00987FAE" w:rsidRDefault="00987FAE" w:rsidP="00987FA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F3D1" w14:textId="3A4477E5" w:rsidR="00987FAE" w:rsidRDefault="00987FAE" w:rsidP="00987FA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ANDY VICTOR HUGO RUIZ VARGAS RUIZ VARGAS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55EA" w14:textId="30917B6B" w:rsidR="00987FAE" w:rsidRDefault="00987FAE" w:rsidP="00987FA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ECAB" w14:textId="07117E28" w:rsidR="00987FAE" w:rsidRDefault="00987FAE" w:rsidP="00987FAE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</w:tbl>
    <w:p w14:paraId="17675668" w14:textId="1CA43470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r w:rsidR="00987FAE">
        <w:rPr>
          <w:rFonts w:asciiTheme="minorHAnsi" w:hAnsiTheme="minorHAnsi"/>
          <w:b/>
          <w:sz w:val="18"/>
          <w:szCs w:val="18"/>
        </w:rPr>
        <w:t xml:space="preserve">puesto( no cuenta con habilitación profesional vigente, no presenta documentos completos para sustentar experiencia laboral, no cuenta con el curso de especialización solicitada, no cuenta con el tiempo de experiencia general, etc.). </w:t>
      </w:r>
      <w:bookmarkStart w:id="0" w:name="_GoBack"/>
      <w:bookmarkEnd w:id="0"/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207E8D0F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987FAE">
        <w:rPr>
          <w:rFonts w:asciiTheme="minorHAnsi" w:hAnsiTheme="minorHAnsi"/>
          <w:sz w:val="22"/>
          <w:szCs w:val="22"/>
        </w:rPr>
        <w:t>27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987FAE">
        <w:rPr>
          <w:rFonts w:asciiTheme="minorHAnsi" w:hAnsiTheme="minorHAnsi"/>
          <w:sz w:val="22"/>
          <w:szCs w:val="22"/>
        </w:rPr>
        <w:t>octubre</w:t>
      </w:r>
      <w:r w:rsidR="00D7096E" w:rsidRPr="00825C22">
        <w:rPr>
          <w:rFonts w:asciiTheme="minorHAnsi" w:hAnsiTheme="minorHAnsi"/>
          <w:sz w:val="22"/>
          <w:szCs w:val="22"/>
        </w:rPr>
        <w:t xml:space="preserve">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FAE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13A0-E27C-466A-A2EB-F5EDA9CE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2022-05-06T03:18:00Z</cp:lastPrinted>
  <dcterms:created xsi:type="dcterms:W3CDTF">2022-09-10T05:11:00Z</dcterms:created>
  <dcterms:modified xsi:type="dcterms:W3CDTF">2022-10-28T08:42:00Z</dcterms:modified>
</cp:coreProperties>
</file>