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MINISTERIO DE LA MUJER Y POBLACIONES VULNERABLES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CONSEJO NACIONAL PARA LA INTEGRACIÓN DE LA PERSONA CON DISCAPACIDAD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PROCEDIMIENTO CAS N° 015-2023-CONADIS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BASES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eastAsia="es-PE"/>
        </w:rPr>
        <w:drawing>
          <wp:inline distT="0" distB="0" distL="114300" distR="114300">
            <wp:extent cx="2352675" cy="1928495"/>
            <wp:effectExtent l="0" t="0" r="0" b="0"/>
            <wp:docPr id="1027" name="image1.jpg" descr="http://1.bp.blogspot.com/-Cy9gidaHGr8/ViE2TE0A-zI/AAAAAAAArSI/nV7hgJD2gZo/s1600/cona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1.bp.blogspot.com/-Cy9gidaHGr8/ViE2TE0A-zI/AAAAAAAArSI/nV7hgJD2gZo/s1600/conadis-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2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t xml:space="preserve">CONTRATACIÓN ADMINISTRATIVA DE SERVICIOS </w:t>
      </w:r>
      <w:r>
        <w:rPr>
          <w:b/>
          <w:color w:val="000000"/>
          <w:sz w:val="40"/>
          <w:szCs w:val="40"/>
        </w:rPr>
        <w:br/>
      </w:r>
      <w:r>
        <w:rPr>
          <w:b/>
          <w:color w:val="000000"/>
          <w:sz w:val="40"/>
          <w:szCs w:val="40"/>
        </w:rPr>
        <w:tab/>
        <w:t>Nº 015-2023- CONADIS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PROCEDIMIENTO CAS N° 015-2023-CONADIS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CONVOCATORIA PARA LA CONTRATACIÓN ADMINISTRATIVA DE SERVICIOS DE DOS (02)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TÉ</w:t>
      </w:r>
      <w:r>
        <w:rPr>
          <w:b/>
          <w:color w:val="000000"/>
          <w:sz w:val="24"/>
          <w:szCs w:val="24"/>
        </w:rPr>
        <w:t>CNICOS/AS EN INFORMÁTICA PARA LA OFICINA DE TECNOLOGÍAS DE LA INFORMACIÓN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GENERALIDADES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Objeto de la convocatoria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Contratar los servicios de DOS (02) </w:t>
      </w:r>
      <w:r>
        <w:t>TÉCNICOS</w:t>
      </w:r>
      <w:r>
        <w:rPr>
          <w:color w:val="000000"/>
        </w:rPr>
        <w:t>/AS EN INFORMÁ</w:t>
      </w:r>
      <w:r>
        <w:rPr>
          <w:color w:val="000000"/>
        </w:rPr>
        <w:t>TICA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</w:rPr>
        <w:t>para el cumplimiento de las funciones y objetivos de la Entidad.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Dependencia, unidad orgánica y/o área solicitante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Oficina de Tecnologías de la Información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Domicilio Legal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Av. Arequipa 375, Urbanización Santa Beatriz, Cercado de Lima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</w:rPr>
      </w:pPr>
    </w:p>
    <w:p w:rsidR="00A259AB" w:rsidRDefault="0014127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Dependencia encargada de realizar el procedimiento de contratación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Oficina de Administración – Unidad de Recursos Humanos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Requerimientos de plazas CAS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977"/>
        <w:gridCol w:w="3118"/>
      </w:tblGrid>
      <w:tr w:rsidR="00A259AB">
        <w:trPr>
          <w:trHeight w:val="846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ÍTEM / N°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CÓDIGO DEL POSTULANTE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PUESTO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DIRECCIÓN / OFICINA</w:t>
            </w:r>
          </w:p>
        </w:tc>
      </w:tr>
      <w:tr w:rsidR="00A259AB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2023-015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TÉCNICO EN INFORMÁTICA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OFICINA DE TECNOLOGÍAS DE LA INFORMACIÓN</w:t>
            </w:r>
          </w:p>
        </w:tc>
      </w:tr>
    </w:tbl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A259AB" w:rsidRDefault="0014127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Base Legal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Decreto Supremo N° 002-2016-MIMP, que aprueba el Reglamento de Organización y Funciones del Consejo Nacional para la Integración de las Personas con Discapacidad - CONADIS.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Decreto Legislativo Nº 1057, que regula el régimen Especial de Contratación Adminis</w:t>
      </w:r>
      <w:r>
        <w:rPr>
          <w:color w:val="000000"/>
        </w:rPr>
        <w:t>trativa de Servicios, modificado por la Ley N° 29849, Ley que establece la eliminación progresiva del Régimen Especial del Derecho Legislativo N° 1057 y otorga derechos laborales.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Reglamento del Decreto Legislativo Nº 1057 que regula el Régimen Especial de</w:t>
      </w:r>
      <w:r>
        <w:rPr>
          <w:color w:val="000000"/>
        </w:rPr>
        <w:t xml:space="preserve"> Contratación Administrativa de Servicios, aprobado por Decreto Supremo Nº 075-2008 y modificado por Decreto Supremo Nº 065-2011-PCM.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Resolución de Presidencia Ejecutiva N° 313-2017-SERVIR-PE que aprueba el Anexo N°1 de la "Guía Metodológica para el Diseño</w:t>
      </w:r>
      <w:r>
        <w:rPr>
          <w:color w:val="000000"/>
        </w:rPr>
        <w:t xml:space="preserve"> de Perfiles de Puestos para Entidades Públicas, aplicable a regímenes distintos a la Ley 30057, Ley del Servicio Civil".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Resolución de Presidencia Nº 014-2020-CONADIS/PRE que aprueba la Directiva N° 001-2020-CONADIS/PRE, “Procedimientos para la selección </w:t>
      </w:r>
      <w:r>
        <w:rPr>
          <w:color w:val="000000"/>
        </w:rPr>
        <w:t>y contratación de personas bajo el régimen especial de Contratación Administrativa de Servicios - Decreto Legislativo N° 1057, en el Consejo Nacional para la Integración de la Persona con Discapacidad – CONADIS”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Resolución de Presidencia Nº 028 -2020-CONAD</w:t>
      </w:r>
      <w:r>
        <w:rPr>
          <w:color w:val="000000"/>
        </w:rPr>
        <w:t>IS/PRE que modifica Directiva N° 001-2020-CONADIS/PRE.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Decreto de Urgencia N°083-2021, que dicta medidas extraordinarias para el fortalecimiento de la disponibilidad de Recursos Humanos ante la emergencia sanitaria por la Covid-19 y dicta otras disposicion</w:t>
      </w:r>
      <w:r>
        <w:rPr>
          <w:color w:val="000000"/>
        </w:rPr>
        <w:t xml:space="preserve">es. 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Ley N° 31365-Ley de Presupuesto del Sector Público para el Año Fiscal 2022 Disposición complementaria final septuagésima tercera.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Ley N° 31638, Ley de Presupuesto del Sector Público para el Año Fiscal 2023</w:t>
      </w:r>
    </w:p>
    <w:p w:rsidR="00A259AB" w:rsidRDefault="001412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Las demás disposiciones que resulten aplicabl</w:t>
      </w:r>
      <w:r>
        <w:rPr>
          <w:color w:val="000000"/>
        </w:rPr>
        <w:t>es al Contrato Administrativo de Servicios.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A259AB">
      <w:pPr>
        <w:spacing w:after="0" w:line="240" w:lineRule="auto"/>
        <w:ind w:left="0" w:hanging="2"/>
      </w:pPr>
    </w:p>
    <w:p w:rsidR="00A259AB" w:rsidRDefault="00141279">
      <w:pPr>
        <w:numPr>
          <w:ilvl w:val="0"/>
          <w:numId w:val="10"/>
        </w:numPr>
        <w:spacing w:after="0" w:line="240" w:lineRule="auto"/>
        <w:ind w:left="0" w:hanging="2"/>
      </w:pPr>
      <w:r>
        <w:rPr>
          <w:b/>
        </w:rPr>
        <w:t>PERFIL DE PUESTO</w:t>
      </w:r>
    </w:p>
    <w:p w:rsidR="00A259AB" w:rsidRDefault="00A259AB">
      <w:pPr>
        <w:spacing w:after="0" w:line="240" w:lineRule="auto"/>
        <w:ind w:left="0" w:hanging="2"/>
      </w:pPr>
    </w:p>
    <w:tbl>
      <w:tblPr>
        <w:tblStyle w:val="a0"/>
        <w:tblW w:w="847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216"/>
      </w:tblGrid>
      <w:tr w:rsidR="00A259AB">
        <w:trPr>
          <w:trHeight w:val="453"/>
        </w:trPr>
        <w:tc>
          <w:tcPr>
            <w:tcW w:w="3260" w:type="dxa"/>
            <w:shd w:val="clear" w:color="auto" w:fill="DBE5F1"/>
          </w:tcPr>
          <w:p w:rsidR="00A259AB" w:rsidRDefault="00141279">
            <w:pPr>
              <w:spacing w:before="120" w:after="120" w:line="240" w:lineRule="auto"/>
              <w:ind w:left="0" w:hanging="2"/>
              <w:jc w:val="center"/>
            </w:pPr>
            <w:r>
              <w:rPr>
                <w:b/>
              </w:rPr>
              <w:t xml:space="preserve">REQUISITOS </w:t>
            </w:r>
          </w:p>
        </w:tc>
        <w:tc>
          <w:tcPr>
            <w:tcW w:w="5216" w:type="dxa"/>
            <w:shd w:val="clear" w:color="auto" w:fill="DBE5F1"/>
          </w:tcPr>
          <w:p w:rsidR="00A259AB" w:rsidRDefault="00141279">
            <w:pPr>
              <w:spacing w:before="120" w:after="120" w:line="240" w:lineRule="auto"/>
              <w:ind w:left="0" w:hanging="2"/>
              <w:jc w:val="center"/>
            </w:pPr>
            <w:r>
              <w:rPr>
                <w:b/>
              </w:rPr>
              <w:t>DETALLE</w:t>
            </w:r>
          </w:p>
        </w:tc>
      </w:tr>
      <w:tr w:rsidR="00A259AB">
        <w:trPr>
          <w:trHeight w:val="1444"/>
        </w:trPr>
        <w:tc>
          <w:tcPr>
            <w:tcW w:w="3260" w:type="dxa"/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Experiencia Laboral</w:t>
            </w:r>
          </w:p>
          <w:p w:rsidR="00A259AB" w:rsidRDefault="00A259AB">
            <w:pPr>
              <w:spacing w:before="120" w:after="120" w:line="240" w:lineRule="auto"/>
              <w:ind w:left="0" w:hanging="2"/>
              <w:jc w:val="both"/>
              <w:rPr>
                <w:color w:val="000000"/>
              </w:rPr>
            </w:pPr>
          </w:p>
          <w:p w:rsidR="00A259AB" w:rsidRDefault="00A259AB">
            <w:pPr>
              <w:spacing w:before="120"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16" w:type="dxa"/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t xml:space="preserve">General: </w:t>
            </w:r>
          </w:p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t>• Experiencia laboral no menor de tres (03) años en el sector público y/o privado</w:t>
            </w:r>
          </w:p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t>Especifica:</w:t>
            </w:r>
          </w:p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t xml:space="preserve">• Dos (02) años de experiencia laboral realizando funciones relacionadas al puesto, desde el nivel mínimo de auxiliar o asistente, en el sector público y/o privado. </w:t>
            </w:r>
          </w:p>
          <w:p w:rsidR="00A259AB" w:rsidRDefault="00A259AB">
            <w:pPr>
              <w:spacing w:before="120" w:after="120" w:line="240" w:lineRule="auto"/>
              <w:ind w:left="0" w:hanging="2"/>
              <w:jc w:val="both"/>
            </w:pPr>
          </w:p>
        </w:tc>
      </w:tr>
      <w:tr w:rsidR="00A259AB">
        <w:trPr>
          <w:trHeight w:val="952"/>
        </w:trPr>
        <w:tc>
          <w:tcPr>
            <w:tcW w:w="3260" w:type="dxa"/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t>•Título técnico en Computació</w:t>
            </w:r>
            <w:r>
              <w:t>n e informática, Informática o afines.</w:t>
            </w:r>
          </w:p>
        </w:tc>
      </w:tr>
      <w:tr w:rsidR="00A259AB">
        <w:trPr>
          <w:trHeight w:val="473"/>
        </w:trPr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rPr>
                <w:b/>
              </w:rPr>
              <w:t>Cursos, capacitación, talleres y/o estudios de especialización</w:t>
            </w:r>
          </w:p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000000"/>
            </w:tcBorders>
            <w:vAlign w:val="center"/>
          </w:tcPr>
          <w:p w:rsidR="00A259AB" w:rsidRDefault="00141279" w:rsidP="00141279">
            <w:pPr>
              <w:tabs>
                <w:tab w:val="left" w:pos="173"/>
              </w:tabs>
              <w:spacing w:after="0" w:line="240" w:lineRule="auto"/>
              <w:ind w:leftChars="0" w:left="0" w:firstLineChars="0" w:firstLine="0"/>
              <w:jc w:val="both"/>
              <w:rPr>
                <w:color w:val="FF0000"/>
              </w:rPr>
            </w:pPr>
            <w:r>
              <w:t>•</w:t>
            </w:r>
            <w:r>
              <w:t>Curso de Soporte de TI o Asistencia para trabajo remoto o Mantenimiento de PC o configuración de computadoras (mínimo 12 horas)</w:t>
            </w:r>
          </w:p>
        </w:tc>
      </w:tr>
      <w:tr w:rsidR="00A259AB">
        <w:trPr>
          <w:trHeight w:val="473"/>
        </w:trPr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rPr>
                <w:b/>
              </w:rPr>
              <w:t>Habilidades o Competencias</w:t>
            </w:r>
          </w:p>
        </w:tc>
        <w:tc>
          <w:tcPr>
            <w:tcW w:w="5216" w:type="dxa"/>
            <w:tcBorders>
              <w:bottom w:val="single" w:sz="4" w:space="0" w:color="000000"/>
            </w:tcBorders>
            <w:vAlign w:val="center"/>
          </w:tcPr>
          <w:p w:rsidR="00141279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 xml:space="preserve">Capacidad de análisis </w:t>
            </w:r>
          </w:p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>Comunicación efectiva</w:t>
            </w:r>
          </w:p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 xml:space="preserve">Trabajo en equipo </w:t>
            </w:r>
          </w:p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>Orientación a resultados</w:t>
            </w:r>
          </w:p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>Proactividad e Integridad</w:t>
            </w:r>
          </w:p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>Servicio institucional</w:t>
            </w:r>
          </w:p>
        </w:tc>
      </w:tr>
      <w:tr w:rsidR="00A259AB">
        <w:trPr>
          <w:trHeight w:val="9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</w:pPr>
            <w:r>
              <w:rPr>
                <w:b/>
              </w:rPr>
              <w:t>Otros requisitos o conocimientos para el puesto: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>Mantenimiento de equipos informáticos</w:t>
            </w:r>
          </w:p>
          <w:p w:rsidR="00A259AB" w:rsidRDefault="00141279" w:rsidP="00141279">
            <w:pPr>
              <w:spacing w:after="0" w:line="240" w:lineRule="auto"/>
              <w:ind w:leftChars="0" w:left="0" w:firstLineChars="0" w:firstLine="0"/>
              <w:jc w:val="both"/>
            </w:pPr>
            <w:r>
              <w:t>•</w:t>
            </w:r>
            <w:r>
              <w:t xml:space="preserve"> </w:t>
            </w:r>
            <w:r>
              <w:t>Conocimientos de procesador de textos, Hojas de cálculo y programas de presentaciones a nivel intermedio.</w:t>
            </w:r>
          </w:p>
        </w:tc>
      </w:tr>
    </w:tbl>
    <w:p w:rsidR="00A259AB" w:rsidRDefault="00141279">
      <w:pPr>
        <w:spacing w:after="0" w:line="240" w:lineRule="auto"/>
        <w:ind w:left="0" w:right="-142" w:hanging="2"/>
      </w:pPr>
      <w:r>
        <w:rPr>
          <w:b/>
        </w:rPr>
        <w:t>No se admitirán declaraciones juradas para acreditar la experiencia laboral y/o cursos, talleres, especializaciones, ni para acreditar formación académica</w:t>
      </w:r>
    </w:p>
    <w:p w:rsidR="00A259AB" w:rsidRDefault="00A259AB">
      <w:pPr>
        <w:spacing w:after="0" w:line="240" w:lineRule="auto"/>
        <w:ind w:left="0" w:hanging="2"/>
      </w:pPr>
    </w:p>
    <w:p w:rsidR="00A259AB" w:rsidRDefault="00A259AB">
      <w:pPr>
        <w:spacing w:after="0" w:line="240" w:lineRule="auto"/>
        <w:ind w:left="0" w:hanging="2"/>
      </w:pPr>
    </w:p>
    <w:p w:rsidR="00A259AB" w:rsidRDefault="00141279">
      <w:pPr>
        <w:numPr>
          <w:ilvl w:val="0"/>
          <w:numId w:val="10"/>
        </w:numPr>
        <w:spacing w:after="0" w:line="240" w:lineRule="auto"/>
        <w:ind w:left="0" w:hanging="2"/>
      </w:pPr>
      <w:r>
        <w:rPr>
          <w:b/>
        </w:rPr>
        <w:t>CARACTERÍSTICAS DEL PUESTO</w:t>
      </w:r>
    </w:p>
    <w:p w:rsidR="00A259AB" w:rsidRDefault="00141279">
      <w:pPr>
        <w:spacing w:before="120" w:after="120" w:line="240" w:lineRule="auto"/>
        <w:ind w:left="0" w:hanging="2"/>
        <w:jc w:val="both"/>
      </w:pPr>
      <w:r>
        <w:t>Principales funciones a desarrollar: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t>•</w:t>
      </w:r>
      <w:r>
        <w:t xml:space="preserve">  </w:t>
      </w:r>
      <w:r>
        <w:t>Realizar informes de validación téc</w:t>
      </w:r>
      <w:r>
        <w:t>nica para efectos de conformidad de servicio, o de adquisición, o emitir las observaciones en caso sean necesarias.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t>•</w:t>
      </w:r>
      <w:r>
        <w:t xml:space="preserve"> </w:t>
      </w:r>
      <w:r>
        <w:t>Validar las especificaciones técnicas y/o términos de referencia de las adquisiciones o contrataciones relacionadas a equipos informáticos o</w:t>
      </w:r>
      <w:r>
        <w:t xml:space="preserve"> servicios de soporte técnico.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lastRenderedPageBreak/>
        <w:t>•</w:t>
      </w:r>
      <w:r>
        <w:t xml:space="preserve"> </w:t>
      </w:r>
      <w:r>
        <w:t>Brindar apoyo técnico para el acceso a los sistemas, plataformas o aplicativos informáticos necesarios para el desarrollo de las funciones de los trabajadores de la Entidad.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t>•</w:t>
      </w:r>
      <w:r>
        <w:t xml:space="preserve"> </w:t>
      </w:r>
      <w:r>
        <w:t>Preparar y configurar los equipos informáticos para</w:t>
      </w:r>
      <w:r>
        <w:t xml:space="preserve"> el personal nuevo o por reemplazo o desplazamiento.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t>•</w:t>
      </w:r>
      <w:r>
        <w:t xml:space="preserve"> </w:t>
      </w:r>
      <w:r>
        <w:t xml:space="preserve">Brindar apoyo de soporte con la conectividad y cableado de los equipos que se conectan a la red de datos del </w:t>
      </w:r>
      <w:proofErr w:type="spellStart"/>
      <w:r>
        <w:t>Conadis</w:t>
      </w:r>
      <w:proofErr w:type="spellEnd"/>
      <w:r>
        <w:t>.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t>•</w:t>
      </w:r>
      <w:r>
        <w:t xml:space="preserve"> </w:t>
      </w:r>
      <w:r>
        <w:t>Elaborar informes técnicos sobre el diagnóstico y estado de los equipos informáticos.</w:t>
      </w:r>
    </w:p>
    <w:p w:rsidR="00A259AB" w:rsidRDefault="00141279" w:rsidP="00141279">
      <w:pPr>
        <w:spacing w:after="0" w:line="240" w:lineRule="auto"/>
        <w:ind w:leftChars="0" w:left="0" w:firstLineChars="0" w:firstLine="0"/>
        <w:jc w:val="both"/>
      </w:pPr>
      <w:r>
        <w:t>•</w:t>
      </w:r>
      <w:r>
        <w:t xml:space="preserve"> </w:t>
      </w:r>
      <w:r>
        <w:t xml:space="preserve">Realizar el mantenimiento preventivo a los equipos informáticos del </w:t>
      </w:r>
      <w:proofErr w:type="spellStart"/>
      <w:r>
        <w:t>Conadis</w:t>
      </w:r>
      <w:proofErr w:type="spellEnd"/>
      <w:r>
        <w:t>.</w:t>
      </w:r>
    </w:p>
    <w:p w:rsidR="00A259AB" w:rsidRDefault="00A259AB">
      <w:pPr>
        <w:spacing w:after="0" w:line="240" w:lineRule="auto"/>
        <w:ind w:left="0" w:hanging="2"/>
        <w:jc w:val="both"/>
      </w:pPr>
    </w:p>
    <w:p w:rsidR="00A259AB" w:rsidRDefault="00141279">
      <w:pPr>
        <w:numPr>
          <w:ilvl w:val="0"/>
          <w:numId w:val="10"/>
        </w:numPr>
        <w:spacing w:after="0" w:line="240" w:lineRule="auto"/>
        <w:ind w:left="0" w:hanging="2"/>
        <w:jc w:val="both"/>
      </w:pPr>
      <w:r>
        <w:rPr>
          <w:b/>
        </w:rPr>
        <w:t>CONDICIONES ESENCIALES DEL CONTRATO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1"/>
        <w:tblW w:w="836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1"/>
      </w:tblGrid>
      <w:tr w:rsidR="00A259AB">
        <w:tc>
          <w:tcPr>
            <w:tcW w:w="2552" w:type="dxa"/>
            <w:shd w:val="clear" w:color="auto" w:fill="DBE5F1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CONDICIONES</w:t>
            </w:r>
          </w:p>
        </w:tc>
        <w:tc>
          <w:tcPr>
            <w:tcW w:w="5811" w:type="dxa"/>
            <w:shd w:val="clear" w:color="auto" w:fill="DBE5F1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DETALLE</w:t>
            </w:r>
          </w:p>
        </w:tc>
      </w:tr>
      <w:tr w:rsidR="00A259AB">
        <w:tc>
          <w:tcPr>
            <w:tcW w:w="2552" w:type="dxa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Lugar de prestación del servicio</w:t>
            </w:r>
          </w:p>
        </w:tc>
        <w:tc>
          <w:tcPr>
            <w:tcW w:w="5811" w:type="dxa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Sede: Jr. Juan de Arona 151, San Isidro  </w:t>
            </w:r>
          </w:p>
        </w:tc>
      </w:tr>
      <w:tr w:rsidR="00A259AB">
        <w:tc>
          <w:tcPr>
            <w:tcW w:w="2552" w:type="dxa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Duración del Contrato</w:t>
            </w:r>
          </w:p>
        </w:tc>
        <w:tc>
          <w:tcPr>
            <w:tcW w:w="5811" w:type="dxa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Inicio: </w:t>
            </w:r>
            <w:r>
              <w:rPr>
                <w:color w:val="000000"/>
              </w:rPr>
              <w:t>A partir del día siguiente de la suscripción del contrato.</w:t>
            </w:r>
          </w:p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Término:</w:t>
            </w:r>
            <w:r>
              <w:rPr>
                <w:color w:val="000000"/>
              </w:rPr>
              <w:t xml:space="preserve"> Tres (3) meses, sujeto a prórroga o renovación en función a la necesidad y disponibilidad presupuestal.</w:t>
            </w:r>
          </w:p>
        </w:tc>
      </w:tr>
      <w:tr w:rsidR="00A259AB">
        <w:tc>
          <w:tcPr>
            <w:tcW w:w="2552" w:type="dxa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Remuneración Mensual</w:t>
            </w:r>
          </w:p>
        </w:tc>
        <w:tc>
          <w:tcPr>
            <w:tcW w:w="5811" w:type="dxa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S/3,500 (Tres mil quinientos y 00/100 soles) incluye los monto</w:t>
            </w:r>
            <w:r>
              <w:rPr>
                <w:color w:val="000000"/>
              </w:rPr>
              <w:t>s y afiliación de ley, así como toda deducción aplicable al el/la trabajador/a.</w:t>
            </w:r>
          </w:p>
        </w:tc>
      </w:tr>
      <w:tr w:rsidR="00A259AB">
        <w:tc>
          <w:tcPr>
            <w:tcW w:w="2552" w:type="dxa"/>
          </w:tcPr>
          <w:p w:rsidR="00A259AB" w:rsidRDefault="00A25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11" w:type="dxa"/>
          </w:tcPr>
          <w:p w:rsidR="00A259AB" w:rsidRDefault="001412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Modalidad de trabajo: Presencial</w:t>
            </w:r>
          </w:p>
          <w:p w:rsidR="00A259AB" w:rsidRDefault="001412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Disponibilidad inmediata para el inicio de labores.</w:t>
            </w:r>
          </w:p>
          <w:p w:rsidR="00A259AB" w:rsidRDefault="001412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No tener impedimento para contratar con el Estado.</w:t>
            </w:r>
          </w:p>
          <w:p w:rsidR="00A259AB" w:rsidRDefault="001412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No tener antecedentes judiciales, policiales, penales o de procesos de determinación de responsabilidades.</w:t>
            </w:r>
          </w:p>
          <w:p w:rsidR="00A259AB" w:rsidRDefault="001412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 tener sanción por falta administrativa vigente y no estar registrado en el REDAM</w:t>
            </w:r>
          </w:p>
        </w:tc>
      </w:tr>
    </w:tbl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CRONOGRAMAS Y ETAPAS DEL PROCEDIMIENTO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2"/>
        <w:tblW w:w="864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410"/>
      </w:tblGrid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Publicación del procedimiento en la web</w:t>
            </w:r>
            <w:r>
              <w:rPr>
                <w:color w:val="0000FF"/>
                <w:u w:val="single"/>
              </w:rPr>
              <w:t xml:space="preserve"> www.talentoperu.servir.gob.pe</w:t>
            </w:r>
          </w:p>
        </w:tc>
        <w:tc>
          <w:tcPr>
            <w:tcW w:w="2126" w:type="dxa"/>
          </w:tcPr>
          <w:p w:rsidR="00A259AB" w:rsidRDefault="00141279">
            <w:pPr>
              <w:widowControl w:val="0"/>
              <w:spacing w:after="0" w:line="259" w:lineRule="auto"/>
              <w:ind w:left="0" w:right="91" w:hanging="2"/>
            </w:pPr>
            <w:r>
              <w:t>Del 14 de abril al 27 de abril de 2023.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Recursos Humanos</w:t>
            </w:r>
          </w:p>
        </w:tc>
      </w:tr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hd w:val="clear" w:color="auto" w:fill="FFFFFF"/>
              <w:ind w:left="0" w:hanging="2"/>
              <w:rPr>
                <w:color w:val="0000FF"/>
                <w:u w:val="single"/>
              </w:rPr>
            </w:pPr>
            <w:r>
              <w:t>Publicación de la convocatoria en la Página Web del CONADIS, sección “Convocatorias de trabajo”</w:t>
            </w:r>
            <w:r>
              <w:rPr>
                <w:color w:val="0000FF"/>
                <w:u w:val="single"/>
              </w:rPr>
              <w:t xml:space="preserve"> </w:t>
            </w:r>
          </w:p>
          <w:p w:rsidR="00A259AB" w:rsidRDefault="00141279">
            <w:pPr>
              <w:shd w:val="clear" w:color="auto" w:fill="FFFFFF"/>
              <w:ind w:left="0" w:hanging="2"/>
            </w:pPr>
            <w:hyperlink r:id="rId7">
              <w:r>
                <w:rPr>
                  <w:color w:val="0000FF"/>
                  <w:u w:val="single"/>
                </w:rPr>
                <w:t>https://siscas.conadisperu.gob.pe/</w:t>
              </w:r>
            </w:hyperlink>
          </w:p>
        </w:tc>
        <w:tc>
          <w:tcPr>
            <w:tcW w:w="2126" w:type="dxa"/>
          </w:tcPr>
          <w:p w:rsidR="00A259AB" w:rsidRDefault="00A259AB">
            <w:pPr>
              <w:widowControl w:val="0"/>
              <w:spacing w:after="0" w:line="259" w:lineRule="auto"/>
              <w:ind w:left="0" w:right="91" w:hanging="2"/>
            </w:pPr>
          </w:p>
          <w:p w:rsidR="00A259AB" w:rsidRDefault="00141279">
            <w:pPr>
              <w:widowControl w:val="0"/>
              <w:spacing w:after="0" w:line="259" w:lineRule="auto"/>
              <w:ind w:left="0" w:right="91" w:hanging="2"/>
            </w:pPr>
            <w:r>
              <w:t>Del 14 de abril al 27 de abril de 2023.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Recursos Humanos</w:t>
            </w:r>
          </w:p>
        </w:tc>
      </w:tr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hd w:val="clear" w:color="auto" w:fill="FFFFFF"/>
              <w:ind w:left="0" w:hanging="2"/>
              <w:jc w:val="both"/>
            </w:pPr>
            <w:r>
              <w:rPr>
                <w:b/>
              </w:rPr>
              <w:t xml:space="preserve">Presentación de propuestas de postulación 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lastRenderedPageBreak/>
              <w:t>Los anexos 06, 07 y 08 están consignados en los formularios virtuales del aplicativo de Convocatorias CAS, los mismos que una vez llenados deberán descárgalos, firmarlos y finalmente volverlos a cargar en dicho aplicativo y/o imprimirlos para la presentac</w:t>
            </w:r>
            <w:r>
              <w:t>ión física, siendo este proceso indispensable para su postulación.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t xml:space="preserve">La presentación de la documentación por medio virtual se hará a través del aplicativo web de Convocatorias CAS, ingresando al portal web institucional </w:t>
            </w:r>
            <w:r>
              <w:rPr>
                <w:color w:val="2F5496"/>
                <w:u w:val="single"/>
              </w:rPr>
              <w:t>https://www.gob.pe/conadis</w:t>
            </w:r>
            <w:r>
              <w:t>, sección "C</w:t>
            </w:r>
            <w:r>
              <w:t xml:space="preserve">onvocatorias de trabajo, luego deberá Ir a convocatorias: </w:t>
            </w:r>
            <w:hyperlink r:id="rId8">
              <w:r>
                <w:rPr>
                  <w:color w:val="0000FF"/>
                  <w:u w:val="single"/>
                </w:rPr>
                <w:t>https://siscas.conadisperu.gob.pe/</w:t>
              </w:r>
            </w:hyperlink>
            <w:r>
              <w:rPr>
                <w:color w:val="1F3864"/>
              </w:rPr>
              <w:t>;</w:t>
            </w:r>
            <w:r>
              <w:t xml:space="preserve"> en la parte superior derecha de la página web, encontrará un botón </w:t>
            </w:r>
            <w:r>
              <w:rPr>
                <w:b/>
                <w:color w:val="1F3864"/>
              </w:rPr>
              <w:t>Iniciar Sesión</w:t>
            </w:r>
            <w:r>
              <w:rPr>
                <w:b/>
              </w:rPr>
              <w:t>.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  <w:rPr>
                <w:color w:val="002060"/>
              </w:rPr>
            </w:pPr>
            <w:r>
              <w:rPr>
                <w:b/>
                <w:i/>
                <w:color w:val="002060"/>
              </w:rPr>
              <w:t>Antes de iniciar su regis</w:t>
            </w:r>
            <w:r>
              <w:rPr>
                <w:b/>
                <w:i/>
                <w:color w:val="002060"/>
              </w:rPr>
              <w:t xml:space="preserve">tro es obligatorio visualizar el </w:t>
            </w:r>
            <w:r>
              <w:rPr>
                <w:b/>
                <w:i/>
                <w:color w:val="002060"/>
                <w:u w:val="single"/>
              </w:rPr>
              <w:t>VIDEO TUTORIAL</w:t>
            </w:r>
            <w:r>
              <w:rPr>
                <w:b/>
                <w:i/>
                <w:color w:val="002060"/>
              </w:rPr>
              <w:t xml:space="preserve">; donde le indicará el paso a paso de cómo realizar su postulación. 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t>Una vez revisado el video, deberá registrarse como postulante</w:t>
            </w:r>
            <w:r>
              <w:rPr>
                <w:b/>
              </w:rPr>
              <w:t xml:space="preserve"> </w:t>
            </w:r>
            <w:r>
              <w:t>en el botón</w:t>
            </w:r>
            <w:r>
              <w:rPr>
                <w:b/>
              </w:rPr>
              <w:t xml:space="preserve"> </w:t>
            </w:r>
            <w:r>
              <w:rPr>
                <w:b/>
                <w:color w:val="1F3864"/>
              </w:rPr>
              <w:t>Iniciar Sesión</w:t>
            </w:r>
            <w:r>
              <w:rPr>
                <w:b/>
              </w:rPr>
              <w:t>.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t xml:space="preserve">Luego de realizar su registro deberá presionar el </w:t>
            </w:r>
            <w:r>
              <w:t xml:space="preserve">botón de </w:t>
            </w:r>
            <w:r>
              <w:rPr>
                <w:b/>
                <w:color w:val="1F3864"/>
              </w:rPr>
              <w:t>Ingresar</w:t>
            </w:r>
            <w:r>
              <w:t xml:space="preserve">, seguidamente deberá seleccionar el proceso CAS al que postula, haciendo clic en el botón denominado </w:t>
            </w:r>
            <w:r>
              <w:rPr>
                <w:b/>
                <w:color w:val="1F3864"/>
              </w:rPr>
              <w:t>“POSTULAR”,</w:t>
            </w:r>
            <w:r>
              <w:t xml:space="preserve"> el sistema le solicitará que realice el ingreso de sus datos (datos personales, formación académica, cursos, experiencia labo</w:t>
            </w:r>
            <w:r>
              <w:t xml:space="preserve">ral, </w:t>
            </w:r>
            <w:proofErr w:type="spellStart"/>
            <w:r>
              <w:t>etc</w:t>
            </w:r>
            <w:proofErr w:type="spellEnd"/>
            <w:r>
              <w:t>);el cual únicamente estará habilitado en la fecha y hora programada de presentación de propuestas de postulación (sección V. CRONOGRAMAS Y ETAPAS DEL PROCEDIMIENTO, de la presentes base).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t>De no poder realizar su postulación a través del aplicativo</w:t>
            </w:r>
            <w:r>
              <w:t xml:space="preserve"> virtual podrá presentar en forma física en la Mesa de Partes de la Sede Central del CONADIS, ubicada en Av. Arequipa N° 375, Urb. Santa Beatriz-Lima.</w:t>
            </w:r>
          </w:p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t xml:space="preserve">La presentación de propuestas de postulación virtual y física se realizará en el horario de 8:00 horas a </w:t>
            </w:r>
            <w:r>
              <w:t xml:space="preserve">17:00 horas. </w:t>
            </w:r>
          </w:p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rPr>
                <w:b/>
              </w:rPr>
              <w:lastRenderedPageBreak/>
              <w:t>Las propuestas de postulación presentadas antes y/o después de la fecha programada no serán admitidas.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A259AB">
            <w:pPr>
              <w:spacing w:after="0" w:line="259" w:lineRule="auto"/>
              <w:ind w:left="0" w:hanging="2"/>
              <w:jc w:val="center"/>
            </w:pPr>
          </w:p>
          <w:p w:rsidR="00A259AB" w:rsidRDefault="00141279">
            <w:pPr>
              <w:spacing w:after="0" w:line="259" w:lineRule="auto"/>
              <w:ind w:left="0" w:hanging="2"/>
              <w:jc w:val="center"/>
            </w:pPr>
            <w:r>
              <w:t>28 de abril de 2023</w:t>
            </w:r>
          </w:p>
          <w:p w:rsidR="00A259AB" w:rsidRDefault="00141279">
            <w:pPr>
              <w:spacing w:after="0" w:line="259" w:lineRule="auto"/>
              <w:ind w:left="0" w:hanging="2"/>
              <w:jc w:val="center"/>
            </w:pPr>
            <w:r>
              <w:t>(único día)</w:t>
            </w:r>
          </w:p>
          <w:p w:rsidR="00A259AB" w:rsidRDefault="00141279">
            <w:pPr>
              <w:spacing w:after="160" w:line="259" w:lineRule="auto"/>
              <w:ind w:left="0" w:hanging="2"/>
              <w:jc w:val="center"/>
            </w:pPr>
            <w:r>
              <w:t>( debe realizarse en el horario de 8:00 a 17:00 horas)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lastRenderedPageBreak/>
              <w:t>Unidad Funcional de Atención al Ciudadano y Gestión Documental – Oficina de Administración</w:t>
            </w:r>
          </w:p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Tecnología e Informática.</w:t>
            </w:r>
          </w:p>
        </w:tc>
      </w:tr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rPr>
                <w:b/>
              </w:rPr>
              <w:lastRenderedPageBreak/>
              <w:t>Evaluación curricular</w:t>
            </w:r>
          </w:p>
        </w:tc>
        <w:tc>
          <w:tcPr>
            <w:tcW w:w="2126" w:type="dxa"/>
          </w:tcPr>
          <w:p w:rsidR="00A259AB" w:rsidRDefault="00141279">
            <w:pPr>
              <w:widowControl w:val="0"/>
              <w:spacing w:after="0"/>
              <w:ind w:left="0" w:hanging="2"/>
              <w:jc w:val="center"/>
            </w:pPr>
            <w:r>
              <w:t>02, 03 Y 04 de mayo de  2023(*)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Comité de Selección CAS</w:t>
            </w:r>
          </w:p>
        </w:tc>
      </w:tr>
      <w:tr w:rsidR="00A259AB">
        <w:trPr>
          <w:trHeight w:val="6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rPr>
                <w:b/>
              </w:rPr>
              <w:t>Publicación de Resultados de Evaluación Curricular</w:t>
            </w:r>
          </w:p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Los resultados de la evaluación curricular con la relación de postulantes aptos, no aptos y el cronograma para la entrevista personal o virtual, serán publicados a través de la página web del CONADIS: secc</w:t>
            </w:r>
            <w:r>
              <w:t xml:space="preserve">ión “Convocatorias de trabajo”; </w:t>
            </w:r>
            <w:r>
              <w:rPr>
                <w:color w:val="000000"/>
              </w:rPr>
              <w:t>luego deberá ir a convocatorias:</w:t>
            </w:r>
            <w:r>
              <w:rPr>
                <w:color w:val="2F5496"/>
              </w:rPr>
              <w:t xml:space="preserve"> https://siscas.conadisperu.gob.pe/;</w:t>
            </w:r>
          </w:p>
        </w:tc>
        <w:tc>
          <w:tcPr>
            <w:tcW w:w="2126" w:type="dxa"/>
          </w:tcPr>
          <w:p w:rsidR="00A259AB" w:rsidRDefault="00A259AB">
            <w:pPr>
              <w:widowControl w:val="0"/>
              <w:spacing w:after="0" w:line="240" w:lineRule="auto"/>
              <w:ind w:left="0" w:hanging="2"/>
            </w:pPr>
          </w:p>
          <w:p w:rsidR="00A259AB" w:rsidRDefault="00A259AB">
            <w:pPr>
              <w:widowControl w:val="0"/>
              <w:spacing w:after="0" w:line="240" w:lineRule="auto"/>
              <w:ind w:left="0" w:hanging="2"/>
            </w:pPr>
          </w:p>
          <w:p w:rsidR="00A259AB" w:rsidRDefault="00A259AB">
            <w:pPr>
              <w:widowControl w:val="0"/>
              <w:spacing w:after="0" w:line="240" w:lineRule="auto"/>
              <w:ind w:left="0" w:hanging="2"/>
            </w:pPr>
          </w:p>
          <w:p w:rsidR="00A259AB" w:rsidRDefault="00A259AB">
            <w:pPr>
              <w:widowControl w:val="0"/>
              <w:spacing w:after="0" w:line="240" w:lineRule="auto"/>
              <w:ind w:left="0" w:hanging="2"/>
            </w:pPr>
          </w:p>
          <w:p w:rsidR="00A259AB" w:rsidRDefault="00A259AB">
            <w:pPr>
              <w:widowControl w:val="0"/>
              <w:spacing w:before="2" w:after="0" w:line="240" w:lineRule="auto"/>
              <w:ind w:left="1" w:hanging="3"/>
              <w:rPr>
                <w:sz w:val="25"/>
                <w:szCs w:val="25"/>
              </w:rPr>
            </w:pPr>
          </w:p>
          <w:p w:rsidR="00A259AB" w:rsidRDefault="00141279">
            <w:pPr>
              <w:widowControl w:val="0"/>
              <w:spacing w:after="0" w:line="240" w:lineRule="auto"/>
              <w:ind w:left="0" w:right="97" w:hanging="2"/>
              <w:jc w:val="center"/>
            </w:pPr>
            <w:r>
              <w:t>04 de mayo de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Recursos Humanos</w:t>
            </w:r>
          </w:p>
        </w:tc>
      </w:tr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ind w:left="0" w:right="143" w:hanging="2"/>
              <w:jc w:val="both"/>
            </w:pPr>
            <w:r>
              <w:rPr>
                <w:b/>
              </w:rPr>
              <w:t xml:space="preserve">Entrevista Personal: </w:t>
            </w:r>
          </w:p>
          <w:p w:rsidR="00A259AB" w:rsidRDefault="00141279">
            <w:pPr>
              <w:spacing w:after="160" w:line="259" w:lineRule="auto"/>
              <w:ind w:left="0" w:hanging="2"/>
              <w:jc w:val="both"/>
              <w:rPr>
                <w:color w:val="2E74B5"/>
              </w:rPr>
            </w:pPr>
            <w: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 w:rsidP="00141279">
            <w:pPr>
              <w:spacing w:after="160" w:line="259" w:lineRule="auto"/>
              <w:ind w:left="0" w:hanging="2"/>
              <w:jc w:val="both"/>
            </w:pPr>
            <w:r>
              <w:t xml:space="preserve">05, 08, </w:t>
            </w:r>
            <w:r>
              <w:t>09 Y 10</w:t>
            </w:r>
            <w: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C</w:t>
            </w:r>
            <w:r>
              <w:t>omité de Selección CAS</w:t>
            </w:r>
          </w:p>
        </w:tc>
      </w:tr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Publicación de resultados de la entrevista personal y el orden demérito final:</w:t>
            </w:r>
          </w:p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La publicación de resultados finales se efectuará a través de la página web del CONADIS: sección “Convocatorias de trabajo”</w:t>
            </w:r>
            <w:r>
              <w:rPr>
                <w:color w:val="0000FF"/>
                <w:u w:val="single"/>
              </w:rPr>
              <w:t xml:space="preserve"> </w:t>
            </w:r>
            <w:r>
              <w:t xml:space="preserve">luego deberá Ir a convocatorias: </w:t>
            </w:r>
            <w:hyperlink r:id="rId9">
              <w:r>
                <w:rPr>
                  <w:color w:val="002060"/>
                  <w:u w:val="single"/>
                </w:rPr>
                <w:t>https://siscas.conadisperu.gob.pe/</w:t>
              </w:r>
            </w:hyperlink>
            <w:r>
              <w:rPr>
                <w:color w:val="002060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  <w:rPr>
                <w:highlight w:val="yellow"/>
              </w:rPr>
            </w:pPr>
            <w:r>
              <w:t>10 de mayo de 2023.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Recursos Humanos</w:t>
            </w:r>
          </w:p>
        </w:tc>
      </w:tr>
      <w:tr w:rsidR="00A259AB">
        <w:trPr>
          <w:trHeight w:val="1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0" w:line="259" w:lineRule="auto"/>
              <w:ind w:left="0" w:hanging="2"/>
              <w:jc w:val="both"/>
            </w:pPr>
            <w:r>
              <w:rPr>
                <w:b/>
              </w:rPr>
              <w:t xml:space="preserve">Suscripción del Contrato </w:t>
            </w:r>
          </w:p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  <w:rPr>
                <w:highlight w:val="yellow"/>
              </w:rPr>
            </w:pPr>
            <w:r>
              <w:t>Del 11 de mayo al 17 de mayo de 2023.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Recursos Humanos</w:t>
            </w:r>
          </w:p>
        </w:tc>
      </w:tr>
      <w:tr w:rsidR="00A259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AB" w:rsidRDefault="00141279">
            <w:pPr>
              <w:spacing w:after="160" w:line="259" w:lineRule="auto"/>
              <w:ind w:left="0" w:hanging="2"/>
              <w:jc w:val="both"/>
            </w:pPr>
            <w:r>
              <w:t>Unidad de Recursos Humanos</w:t>
            </w:r>
          </w:p>
        </w:tc>
      </w:tr>
    </w:tbl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(*) Sujeto a la cantidad de propuestas de postulación que sean recibidas. 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(**) Sujeto a la cantidad de postulantes y candidatos APTOS en la fase de evaluación curricular.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141279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141279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141279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141279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DE LA ETAPA DE EVALUACIÓN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estructura de los puntajes y factores de evaluación para las tres (03) fases de la etapa de selección: Presentación de propuestas de postulación, evaluación de curricular y entrevista personal, será según el siguiente detalle: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3"/>
        <w:tblW w:w="8864" w:type="dxa"/>
        <w:tblInd w:w="492" w:type="dxa"/>
        <w:tblLayout w:type="fixed"/>
        <w:tblLook w:val="0000" w:firstRow="0" w:lastRow="0" w:firstColumn="0" w:lastColumn="0" w:noHBand="0" w:noVBand="0"/>
      </w:tblPr>
      <w:tblGrid>
        <w:gridCol w:w="4252"/>
        <w:gridCol w:w="995"/>
        <w:gridCol w:w="1640"/>
        <w:gridCol w:w="1977"/>
      </w:tblGrid>
      <w:tr w:rsidR="00A259AB">
        <w:trPr>
          <w:trHeight w:val="82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EVALUACIONES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</w:t>
            </w:r>
            <w:r>
              <w:rPr>
                <w:b/>
                <w:color w:val="000000"/>
                <w:sz w:val="20"/>
                <w:szCs w:val="20"/>
              </w:rPr>
              <w:t xml:space="preserve"> MÍNIMO APROBATORIO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 MÁXIMO</w:t>
            </w:r>
          </w:p>
        </w:tc>
      </w:tr>
      <w:tr w:rsidR="00A259AB">
        <w:trPr>
          <w:trHeight w:val="768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EVALUACIÓN CURRICULAR (A)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259AB">
        <w:trPr>
          <w:cantSplit/>
          <w:trHeight w:val="925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 xml:space="preserve">EXPERIENCIA EN </w:t>
            </w:r>
            <w:r>
              <w:rPr>
                <w:sz w:val="18"/>
                <w:szCs w:val="18"/>
              </w:rPr>
              <w:t>AÑOS</w:t>
            </w:r>
          </w:p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(Obtendrá el puntaje mínimo aprobatorio de 15 puntos)  </w:t>
            </w:r>
          </w:p>
          <w:p w:rsidR="00A259AB" w:rsidRDefault="00A259A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59AB">
        <w:trPr>
          <w:cantSplit/>
          <w:trHeight w:val="961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before="120" w:after="12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 EXPERIENCIA ADICIONALES EN LABORES RELACIONADAS AL PUESTO (UN PUNTO POR CADA AÑO HASTA 5 PUNTOS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A2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A2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A2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8"/>
                <w:szCs w:val="18"/>
              </w:rPr>
            </w:pPr>
          </w:p>
        </w:tc>
      </w:tr>
      <w:tr w:rsidR="00A259AB">
        <w:trPr>
          <w:trHeight w:val="157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>FORMACION ACADÉMICA, GRADO ACADÉMICO O NIVEL DE ESTUDIOS                                                                                                    Título Profesional, Licenciatura, Maestría concluida, Estudios de Maestría, Colegiatura y Habilitaci</w:t>
            </w:r>
            <w:r>
              <w:rPr>
                <w:color w:val="000000"/>
                <w:sz w:val="18"/>
                <w:szCs w:val="18"/>
              </w:rPr>
              <w:t>ón, Bachillerato, Estudios Técnicos o Universitarios, Instrucción Secundaria Completa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59AB">
        <w:trPr>
          <w:cantSplit/>
          <w:trHeight w:val="8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 xml:space="preserve">CAPACITACIÓN                                                                               (Obtendrá el puntaje mínimo aprobatorio de 15 puntos)                                                 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59AB">
        <w:trPr>
          <w:cantSplit/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CAPACITACIONES ADICIONALES RELACIONADAS CON EL PUE</w:t>
            </w:r>
            <w:r>
              <w:rPr>
                <w:color w:val="000000"/>
                <w:sz w:val="18"/>
                <w:szCs w:val="18"/>
              </w:rPr>
              <w:t>STO AL QUE POSTULA (UN PUNTO POR CADA CAPACITACION HASTA 5 PUNTOS)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A2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A2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A2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259AB">
        <w:trPr>
          <w:trHeight w:val="5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ENTREVISTA PERSONAL O VIRTUAL (B)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A259A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DOMINIO TEMÁTICO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59A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FACILIDAD DE COMUNICACIÓN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A259A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CAPACIDAD ANALÍTICA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A259AB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CULTURA GENERAL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A259AB">
        <w:trPr>
          <w:trHeight w:val="450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TOTAL A +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259AB" w:rsidRDefault="0014127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EN LA EVALUACIÓN CURRICULAR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El tiempo de experiencia general, se considerará desde la condición de egresado de la formación académica (*), por lo que el postulante debe presentar la constancia de egresado respectiva. Caso contrario, se contabilizará desde la fecha indicada en el docu</w:t>
      </w:r>
      <w:r>
        <w:rPr>
          <w:color w:val="000000"/>
        </w:rPr>
        <w:t xml:space="preserve">mento presentado para este requisito, por ejemplo, diploma de bachiller o título profesional.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(*) De acuerdo a lo señalado en la Ley N° 31396 “Ley que reconoce las prácticas </w:t>
      </w:r>
      <w:proofErr w:type="spellStart"/>
      <w:r>
        <w:rPr>
          <w:color w:val="000000"/>
        </w:rPr>
        <w:t>preprofesionales</w:t>
      </w:r>
      <w:proofErr w:type="spellEnd"/>
      <w:r>
        <w:rPr>
          <w:color w:val="000000"/>
        </w:rPr>
        <w:t xml:space="preserve"> y prácticas profesionales como experiencia laboral y modifica el Decreto Legislativo 1401”, se considerará como experiencia laboral general, las prácticas </w:t>
      </w:r>
      <w:proofErr w:type="spellStart"/>
      <w:r>
        <w:rPr>
          <w:color w:val="000000"/>
        </w:rPr>
        <w:t>prep</w:t>
      </w:r>
      <w:r>
        <w:rPr>
          <w:color w:val="000000"/>
        </w:rPr>
        <w:t>rofesionales</w:t>
      </w:r>
      <w:proofErr w:type="spellEnd"/>
      <w:r>
        <w:rPr>
          <w:color w:val="000000"/>
        </w:rPr>
        <w:t xml:space="preserve"> no menor de tres meses o hasta cuando se adquiera la condición de Egresado, para lo cual deberá presentar el certificado respectivo que lo acredite.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Para los casos de SECIGRA, el tiempo de servicios se considerará como experiencia general, p</w:t>
      </w:r>
      <w:r>
        <w:rPr>
          <w:color w:val="000000"/>
        </w:rPr>
        <w:t>ara lo cual deberá presentar el certificado de SECIGRA otorgado por la Dirección de Promoción de Justicia de la Dirección General de Justicia y Cultos del Ministerio de Justicia y Derechos Humanos.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experiencia de docencia no se considerará válida como </w:t>
      </w:r>
      <w:r>
        <w:rPr>
          <w:color w:val="000000"/>
        </w:rPr>
        <w:t>específica para los puestos en concurso; siendo que los puestos no establecen tal desempeño.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 validará el certificado, diploma, curso o especialización que señale la cantidad de horas, caso contrario no será considerado.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El postulante que no sustente alguno de los requisitos mínimos del perfil del puesto, y no alcance el puntaje mínimo de 50 puntos en la evaluación curricular, será considerado NO APTO; en consecuencia, no continuará en la siguiente etapa.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EN LA ENTREVIS</w:t>
      </w:r>
      <w:r>
        <w:rPr>
          <w:b/>
          <w:color w:val="000000"/>
        </w:rPr>
        <w:t>TA PERSONAL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Asimismo, para poder otorgar las diferentes puntuaciones, los integrantes del Comité de Selección CAS deben considerar la siguiente escala de calificación: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4"/>
        <w:tblW w:w="82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11"/>
        <w:gridCol w:w="1701"/>
        <w:gridCol w:w="1559"/>
        <w:gridCol w:w="1656"/>
      </w:tblGrid>
      <w:tr w:rsidR="00A259AB">
        <w:trPr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ESCALA DE CALIFICACIÓN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Dominio Temático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Facilidad de Comunicación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Capacidad Analítica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Cultura General</w:t>
            </w:r>
          </w:p>
        </w:tc>
      </w:tr>
      <w:tr w:rsidR="00A259AB">
        <w:trPr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Por encima de lo esperado</w:t>
            </w:r>
          </w:p>
        </w:tc>
        <w:tc>
          <w:tcPr>
            <w:tcW w:w="151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259AB">
        <w:trPr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Dentro de lo esperado</w:t>
            </w:r>
          </w:p>
        </w:tc>
        <w:tc>
          <w:tcPr>
            <w:tcW w:w="151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6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259AB">
        <w:trPr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Por debajo de lo esperado</w:t>
            </w:r>
          </w:p>
        </w:tc>
        <w:tc>
          <w:tcPr>
            <w:tcW w:w="151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6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59AB">
        <w:trPr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Muy por debajo de lo esperado</w:t>
            </w:r>
          </w:p>
        </w:tc>
        <w:tc>
          <w:tcPr>
            <w:tcW w:w="151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6" w:type="dxa"/>
            <w:vAlign w:val="center"/>
          </w:tcPr>
          <w:p w:rsidR="00A259AB" w:rsidRDefault="00141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El puntaje de la Entrevista Personal se obtiene del promedio de la sumatoria de la calificación realizada por los miembros del comité a cada factor de evaluación. Para alcanzar la condición de APTO los postulantes deben obtener como mínimo el puntaje total</w:t>
      </w:r>
      <w:r>
        <w:rPr>
          <w:color w:val="000000"/>
        </w:rPr>
        <w:t xml:space="preserve"> de 30 puntos.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Es requisito indispensable que al ingresar al link de la entrevista la cámara esté encendida y debe asegurarse de que encuentre prendida en todo el desarrollo de la entrevista. 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El requisito indispensable que al momento de ingresar al link deberá renombrarse o colocar su nombre para que sea fácilmente identificado.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En la etapa de entrevista personal se evaluarán cuatro variables </w:t>
      </w:r>
      <w:proofErr w:type="gramStart"/>
      <w:r>
        <w:rPr>
          <w:color w:val="000000"/>
        </w:rPr>
        <w:t>como :</w:t>
      </w:r>
      <w:proofErr w:type="gramEnd"/>
      <w:r>
        <w:rPr>
          <w:color w:val="000000"/>
        </w:rPr>
        <w:t xml:space="preserve"> </w:t>
      </w:r>
    </w:p>
    <w:p w:rsidR="00A259AB" w:rsidRDefault="001412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Dominio Temático.</w:t>
      </w:r>
    </w:p>
    <w:p w:rsidR="00A259AB" w:rsidRDefault="001412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Facilidad de comunicació</w:t>
      </w:r>
      <w:r>
        <w:rPr>
          <w:color w:val="000000"/>
        </w:rPr>
        <w:t>n.</w:t>
      </w:r>
    </w:p>
    <w:p w:rsidR="00A259AB" w:rsidRDefault="001412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Capacidad analítica.</w:t>
      </w:r>
    </w:p>
    <w:p w:rsidR="00A259AB" w:rsidRDefault="001412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Cultura General.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Es seleccionado/a como ganador/a del concurso, el/la candidato/a que obtenga el mayor puntaje final y que tenga la condición de APTO en la etapa de evaluación curricular y la entrevista personal.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BONIFICACIONES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Bonificación por ser personal licenciado de las Fuerzas Armadas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 otorgará una bonificación del diez por ciento (10%) sobre el puntaje total obtenido, únicamente si son aprobadas todas las fases de evaluación, de conformidad con lo establecido en el artí</w:t>
      </w:r>
      <w:r>
        <w:rPr>
          <w:color w:val="000000"/>
        </w:rPr>
        <w:t>culo 1 de la Resolución de Presidencia Ejecutiva N" 313- 2017-SERVIR/PE, y siempre que el postulante lo haya indicado en el Anexo N" 08 (8.DECLARACIÓN DE PERSONAL PARA BONIFICACIONES ESPECIALES)  y haya adjuntado obligatoriamente copia simple del documento</w:t>
      </w:r>
      <w:r>
        <w:rPr>
          <w:color w:val="000000"/>
        </w:rPr>
        <w:t xml:space="preserve"> oficial emitido por la autoridad competente que acredite su condición de Licenciado de las Fuerzas Armadas.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Bonificación deportista calificado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 otorgará una bonificación de acuerdo al Decreto Supremo N' 089-2003-PCM, que aprueba el Reglamento de la Le</w:t>
      </w:r>
      <w:r>
        <w:rPr>
          <w:color w:val="000000"/>
        </w:rPr>
        <w:t>y N" 27674, Ley que establece el acceso de Deportistas de Alto Nivel a la Administración Pública; el puntaje será de acuerdo a la escala de cinco (5) niveles (entre el 4% y 20%) que se detallan en el artículo 7 del reglamento de la Ley N" 27674.  Se otorga</w:t>
      </w:r>
      <w:r>
        <w:rPr>
          <w:color w:val="000000"/>
        </w:rPr>
        <w:t>rá una bonificación a la nota obtenida en la evaluación curricular.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Bonificación por discapacidad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 otorgará una bonificación del quince por ciento (15%) sobre el puntaje total obtenido, únicamente si aprobadas todas las fases de evaluación, de conformidad con lo establecido en el artículo 48 de la Ley N'29973, y siempre que el postulante lo haya indi</w:t>
      </w:r>
      <w:r>
        <w:rPr>
          <w:color w:val="000000"/>
        </w:rPr>
        <w:t>cado en su Ficha del Currículo Vitae y haya adjuntado obligatoriamente el respectivo certificado de discapacidad.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DOCUMENTACIÓN A PRESENTAR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Presentación de propuestas de postulación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presentación de la documentación por medio virtual se hará a través del aplicativo web de Convocatorias CAS, ingresando al portal web institucional </w:t>
      </w:r>
      <w:r>
        <w:rPr>
          <w:color w:val="2F5496"/>
          <w:u w:val="single"/>
        </w:rPr>
        <w:t>https://www.gob.pe/conadis</w:t>
      </w:r>
      <w:r>
        <w:rPr>
          <w:color w:val="000000"/>
        </w:rPr>
        <w:t xml:space="preserve">, sección "Convocatorias de trabajo" luego deberá Ir a convocatorias: </w:t>
      </w:r>
      <w:hyperlink r:id="rId10">
        <w:r>
          <w:rPr>
            <w:color w:val="2F5496"/>
            <w:u w:val="single"/>
          </w:rPr>
          <w:t>https://siscas.conadisperu.gob.pe/</w:t>
        </w:r>
      </w:hyperlink>
      <w:r>
        <w:rPr>
          <w:color w:val="2F5496"/>
          <w:u w:val="single"/>
        </w:rPr>
        <w:t xml:space="preserve">; </w:t>
      </w:r>
      <w:r>
        <w:rPr>
          <w:color w:val="000000"/>
        </w:rPr>
        <w:t xml:space="preserve">en la parte superior derecha de la página web, encontrará un botón </w:t>
      </w:r>
      <w:r>
        <w:rPr>
          <w:b/>
          <w:color w:val="1F3864"/>
        </w:rPr>
        <w:t>Iniciar Sesión</w:t>
      </w:r>
      <w:r>
        <w:rPr>
          <w:b/>
          <w:color w:val="000000"/>
        </w:rPr>
        <w:t xml:space="preserve">, </w:t>
      </w:r>
      <w:r>
        <w:rPr>
          <w:color w:val="000000"/>
        </w:rPr>
        <w:t>donde deberá registrarse como postulante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Luego de realizar su registro deberá presionar el botón de </w:t>
      </w:r>
      <w:r>
        <w:rPr>
          <w:b/>
          <w:color w:val="1F3864"/>
        </w:rPr>
        <w:t>Ingresar</w:t>
      </w:r>
      <w:r>
        <w:rPr>
          <w:color w:val="000000"/>
        </w:rPr>
        <w:t xml:space="preserve">, seguidamente deberá seleccionar el proceso CAS al que postula, haciendo clic en el botón denominado </w:t>
      </w:r>
      <w:r>
        <w:rPr>
          <w:b/>
          <w:color w:val="1F3864"/>
        </w:rPr>
        <w:t>“POSTULAR”,</w:t>
      </w:r>
      <w:r>
        <w:rPr>
          <w:color w:val="000000"/>
        </w:rPr>
        <w:t xml:space="preserve"> el sistema le solicitará que realice el ingreso de sus datos (datos persona</w:t>
      </w:r>
      <w:r>
        <w:rPr>
          <w:color w:val="000000"/>
        </w:rPr>
        <w:t xml:space="preserve">les, formación académica, cursos, experiencia laboral,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); el cual únicamente estará habilitado en la fecha y hora programada de presentación de propuestas de postulación según cronograma. </w:t>
      </w:r>
    </w:p>
    <w:p w:rsidR="00A259AB" w:rsidRDefault="00141279">
      <w:pPr>
        <w:spacing w:before="120" w:after="120" w:line="240" w:lineRule="auto"/>
        <w:ind w:left="0" w:hanging="2"/>
        <w:jc w:val="both"/>
      </w:pPr>
      <w:r>
        <w:lastRenderedPageBreak/>
        <w:t>De no poder hacerlo virtual, podrá presentarlo en forma física e</w:t>
      </w:r>
      <w:r>
        <w:t xml:space="preserve">n la Mesa de Partes de la Sede Central del CONADIS, ubicada en Av. Arequipa N°375, Urb. Santa Beatriz-Lima; en el horario de </w:t>
      </w:r>
      <w:proofErr w:type="gramStart"/>
      <w:r>
        <w:t>Lunes</w:t>
      </w:r>
      <w:proofErr w:type="gramEnd"/>
      <w:r>
        <w:t xml:space="preserve"> a Viernes de 8:00 a 5:00 p.m.</w:t>
      </w:r>
    </w:p>
    <w:p w:rsidR="00A259AB" w:rsidRDefault="00141279">
      <w:pPr>
        <w:spacing w:before="120" w:after="120" w:line="240" w:lineRule="auto"/>
        <w:ind w:left="0" w:hanging="2"/>
        <w:jc w:val="both"/>
      </w:pPr>
      <w:r>
        <w:t>La propuesta física se presentará (foliada en número y rubricada de atrás hacia adelante en cad</w:t>
      </w:r>
      <w:r>
        <w:t xml:space="preserve">a hoja), en folder manila sujeta con </w:t>
      </w:r>
      <w:proofErr w:type="spellStart"/>
      <w:r>
        <w:t>fastener</w:t>
      </w:r>
      <w:proofErr w:type="spellEnd"/>
      <w:r>
        <w:t xml:space="preserve"> y ésta a su vez en un sobre cerrado en la Mesa de Partes de la Unidad Funcional de Atención al Ciudadano y Gestión Documental del CONADIS, en la/s fecha/s y horario señalado en el cronograma, pasada/s dicha/s f</w:t>
      </w:r>
      <w:r>
        <w:t>echa/s y horario, las propuestas se entenderán como no presentadas.</w:t>
      </w:r>
    </w:p>
    <w:p w:rsidR="00A259AB" w:rsidRDefault="00141279">
      <w:pPr>
        <w:spacing w:after="120" w:line="240" w:lineRule="auto"/>
        <w:ind w:left="0" w:hanging="2"/>
        <w:jc w:val="both"/>
      </w:pPr>
      <w:r>
        <w:rPr>
          <w:b/>
        </w:rPr>
        <w:t>Documentos Obligatorios a Presentar en forma física o virtual:</w:t>
      </w:r>
    </w:p>
    <w:p w:rsidR="00A259AB" w:rsidRDefault="00141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Solicitud de inscripción firmada y con los datos completos, de acuerdo al Anexo N°06.</w:t>
      </w:r>
    </w:p>
    <w:p w:rsidR="00A259AB" w:rsidRDefault="00141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Ficha Curricular firmada y documentada de acuerdo al formato del Anexo N° 07. Foliada en número y rubricada de atrás hacia adelante en cada hoja, solo en caso la postulación sea física, no siendo aplicable a través de la postulación virtual.</w:t>
      </w:r>
    </w:p>
    <w:p w:rsidR="00A259AB" w:rsidRDefault="00141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Declaraciones </w:t>
      </w:r>
      <w:r>
        <w:rPr>
          <w:color w:val="000000"/>
        </w:rPr>
        <w:t>Juradas de acuerdo al formato indicado en el Anexo N°08.</w:t>
      </w:r>
    </w:p>
    <w:p w:rsidR="00A259AB" w:rsidRDefault="00A259AB">
      <w:pPr>
        <w:spacing w:after="0" w:line="240" w:lineRule="auto"/>
        <w:ind w:left="0" w:hanging="2"/>
        <w:jc w:val="both"/>
      </w:pPr>
    </w:p>
    <w:p w:rsidR="00A259AB" w:rsidRDefault="00141279">
      <w:pPr>
        <w:spacing w:after="0" w:line="240" w:lineRule="auto"/>
        <w:ind w:left="0" w:hanging="2"/>
        <w:jc w:val="both"/>
      </w:pPr>
      <w:r>
        <w:t>La omisión de la presentación de estos documentos en la forma señalada, acarrea que el postulante sea declarado no admitido en la etapa respectiva.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Los anexos N° 06, 07 y 08 </w:t>
      </w:r>
      <w:r>
        <w:rPr>
          <w:color w:val="000000"/>
        </w:rPr>
        <w:t>podrán descargarse del</w:t>
      </w:r>
      <w:r>
        <w:rPr>
          <w:b/>
          <w:color w:val="000000"/>
        </w:rPr>
        <w:t xml:space="preserve"> </w:t>
      </w:r>
      <w:r>
        <w:rPr>
          <w:color w:val="000000"/>
        </w:rPr>
        <w:t>a</w:t>
      </w:r>
      <w:r>
        <w:rPr>
          <w:color w:val="000000"/>
        </w:rPr>
        <w:t xml:space="preserve">plicativo web de Convocatorias CAS, ingresando al portal web institucional </w:t>
      </w:r>
      <w:r>
        <w:rPr>
          <w:color w:val="2F5496"/>
          <w:u w:val="single"/>
        </w:rPr>
        <w:t>https://www.gob.pe/conadis</w:t>
      </w:r>
      <w:r>
        <w:rPr>
          <w:color w:val="000000"/>
        </w:rPr>
        <w:t>, sección "Convocatorias de trabajo"</w:t>
      </w:r>
      <w:r>
        <w:rPr>
          <w:color w:val="2F5496"/>
        </w:rPr>
        <w:t>;</w:t>
      </w:r>
      <w:r>
        <w:rPr>
          <w:color w:val="2F5496"/>
          <w:u w:val="single"/>
        </w:rPr>
        <w:t>https://sistemas.conadisperu.gob.pe/websrao/convocatoria/comunicadoPrincipal</w:t>
      </w:r>
      <w:r>
        <w:rPr>
          <w:color w:val="2F5496"/>
        </w:rPr>
        <w:t xml:space="preserve">; </w:t>
      </w:r>
      <w:r>
        <w:rPr>
          <w:color w:val="000000"/>
        </w:rPr>
        <w:t>previo llenado de los campos consignados en dicho aplicativo.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etiqueta que deberá ser utilizada en el folder y sobre manila, si se presenta en forma física, será la siguiente:</w:t>
      </w: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5170805" cy="3116580"/>
                <wp:effectExtent l="0" t="0" r="0" b="0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2317913"/>
                          <a:ext cx="42767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Señores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CONSEJO NACIONAL PARA LA INTEGRACIÓN DE LA PERSONA CON DISCAPACIDAD - CONADIS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Atte.: UNIDAD DE RECURSOS HUMANOS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PROCEDIMIENTO CAS Nº            -2022-CONADIS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Código de Postulante N° …………………………………………………………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Item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 xml:space="preserve"> N°: 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.……………….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 xml:space="preserve">Puesto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Apellidos y Nombres: .......................................................................................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Número de DNI: 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.…….…....................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Teléfono: 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………………</w:t>
                            </w:r>
                          </w:p>
                          <w:p w:rsidR="00A259AB" w:rsidRDefault="00141279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Correo electrónico: 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.…….…...............</w:t>
                            </w:r>
                          </w:p>
                          <w:p w:rsidR="00A259AB" w:rsidRDefault="00A259AB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5170805" cy="3116580"/>
                <wp:effectExtent b="0" l="0" r="0" t="0"/>
                <wp:wrapSquare wrapText="bothSides" distB="0" distT="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0805" cy="3116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8.2   Otra información que resulte conveniente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En caso que el postulante presente documentación que acredite la obtención de </w:t>
      </w:r>
      <w:proofErr w:type="gramStart"/>
      <w:r>
        <w:rPr>
          <w:color w:val="000000"/>
        </w:rPr>
        <w:t xml:space="preserve">títulos,   </w:t>
      </w:r>
      <w:proofErr w:type="gramEnd"/>
      <w:r>
        <w:rPr>
          <w:color w:val="000000"/>
        </w:rPr>
        <w:t xml:space="preserve"> grados y/o estudios de posgrado en el extranjero, estos documentos deberán estar validados conforme lo </w:t>
      </w:r>
      <w:r>
        <w:rPr>
          <w:color w:val="000000"/>
        </w:rPr>
        <w:lastRenderedPageBreak/>
        <w:t>establecido por la Directiva N' 001-2014- SERVIR/GDCRSC aprobad</w:t>
      </w:r>
      <w:r>
        <w:rPr>
          <w:color w:val="000000"/>
        </w:rPr>
        <w:t>a por Resolución de Presidencia Ejecutiva N'010-20'14-SERVIR/PE. Asimismo, para el caso de documentos expedidos en idioma diferente al castellano, el postulante deberá adjuntar la traducción oficial o certificada.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ETAPA DE SUSCRIPCIÓN Y REGISTRO DEL CONTR</w:t>
      </w:r>
      <w:r>
        <w:rPr>
          <w:b/>
          <w:color w:val="000000"/>
        </w:rPr>
        <w:t xml:space="preserve">ATO </w:t>
      </w:r>
    </w:p>
    <w:p w:rsidR="00A259AB" w:rsidRDefault="00A259AB">
      <w:pP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El contrato deberá suscribirse como máximo a los cinco (05) días hábiles, contados a partir del día siguiente de la publicación del resultado final del proceso de selección. Si vencido este plazo, el postulante ganador no suscribe el contrato por cau</w:t>
      </w:r>
      <w:r>
        <w:rPr>
          <w:color w:val="000000"/>
        </w:rPr>
        <w:t>sas objetivas imputables a él, se declarará seleccionado al postulante que ocupó el orden de mérito inmediato siguiente para que proceda a la suscripción de contrato, dentro de los cinco (05) días hábiles, contados a partir de la correspondiente comunicaci</w:t>
      </w:r>
      <w:r>
        <w:rPr>
          <w:color w:val="000000"/>
        </w:rPr>
        <w:t xml:space="preserve">ón. </w:t>
      </w:r>
    </w:p>
    <w:p w:rsidR="00A259AB" w:rsidRDefault="00A259AB">
      <w:pP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Los documentos que deberá presentar el/la postulante ganador/a del proceso de selección son los siguientes: </w:t>
      </w: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Los documentos originales que sustenten el cumplimiento de los requisitos mínimos del perfil del puesto (los mismos que se presentaron en el expediente de postulación), tales como: constancia de egreso o grado académico o título, certificados de cursos de </w:t>
      </w:r>
      <w:r>
        <w:rPr>
          <w:color w:val="000000"/>
        </w:rPr>
        <w:t xml:space="preserve">especialización y/o diplomados, capacitaciones u otros que se hayan solicitado en el perfil del puesto; para realizar la verificación y </w:t>
      </w:r>
      <w:proofErr w:type="spellStart"/>
      <w:r>
        <w:rPr>
          <w:color w:val="000000"/>
        </w:rPr>
        <w:t>fedateo</w:t>
      </w:r>
      <w:proofErr w:type="spellEnd"/>
      <w:r>
        <w:rPr>
          <w:color w:val="000000"/>
        </w:rPr>
        <w:t xml:space="preserve"> correspondiente. </w:t>
      </w:r>
    </w:p>
    <w:p w:rsidR="00A259AB" w:rsidRDefault="00A259AB">
      <w:pP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Otros documentos que permitan verificar lo declarado durante el proceso de selección, los cua</w:t>
      </w:r>
      <w:r>
        <w:rPr>
          <w:color w:val="000000"/>
        </w:rPr>
        <w:t xml:space="preserve">les serán solicitados en el acta de resultados finales. </w:t>
      </w:r>
    </w:p>
    <w:p w:rsidR="00A259AB" w:rsidRDefault="00A259AB">
      <w:pP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En caso contar con grados y/o títulos obtenidos en el extranjero deberá presentar al momento de la suscripción el Registro de Titulo, grado, post grado a través del Portal de Servir según DIRECTIVA </w:t>
      </w:r>
      <w:r>
        <w:rPr>
          <w:color w:val="000000"/>
        </w:rPr>
        <w:t xml:space="preserve">N°001-2014-SERVIR/GDCRSC aprobada con Resolución de Presidencia Ejecutiva N°10-2014/SERVIR/PE. </w:t>
      </w:r>
    </w:p>
    <w:p w:rsidR="00A259AB" w:rsidRDefault="00A259AB">
      <w:pP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Para el caso de documentos expedidos en idioma diferente al castellano, el solicitante deberá adjuntar la traducción oficial o certificada de los mismos. </w:t>
      </w:r>
    </w:p>
    <w:p w:rsidR="00A259AB" w:rsidRDefault="00A259AB">
      <w:pP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Otr</w:t>
      </w:r>
      <w:r>
        <w:rPr>
          <w:color w:val="000000"/>
        </w:rPr>
        <w:t xml:space="preserve">os documentos que la Unidad de Recursos Humanos solicite en la publicación de resultados finales. 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CONSIDERACIONES IMPORTANTES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Los postulantes </w:t>
      </w:r>
      <w:r>
        <w:rPr>
          <w:b/>
          <w:color w:val="000000"/>
          <w:u w:val="single"/>
        </w:rPr>
        <w:t>no podrán presentarse simultáneamente a más de una convocatoria que se encuentren vigentes o en proceso</w:t>
      </w:r>
      <w:r>
        <w:rPr>
          <w:color w:val="000000"/>
        </w:rPr>
        <w:t xml:space="preserve">. De detectarse omisión a esta disposición, el postulante será descalificado del proceso. 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documentación que presente el postulante debe ser legible, sin borrones o enmendaduras, caso contrario no será considerada.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 estar inhabilitado administrativa y</w:t>
      </w:r>
      <w:r>
        <w:rPr>
          <w:color w:val="000000"/>
        </w:rPr>
        <w:t>/o judicialmente para contratar con el Estado.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 tener impedimento para contratar conforme a lo previsto en las disposiciones legales sobre la materia.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 percibir otro ingreso por el Estado, a excepción de la docencia.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 tener antecedentes penales, poli</w:t>
      </w:r>
      <w:r>
        <w:rPr>
          <w:color w:val="000000"/>
        </w:rPr>
        <w:t>ciales y/o judiciales.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 estar en el Registro Nacional de Deudores Alimentarios Morosos.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 estar en el Registro Nacional de Sanciones de Destitución y Despido de SERVIR.</w:t>
      </w:r>
    </w:p>
    <w:p w:rsidR="00A259AB" w:rsidRDefault="00141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No estar incurso en lo dispuesto en la Ley N° 27588, Ley que establece prohibiciones</w:t>
      </w:r>
      <w:r>
        <w:rPr>
          <w:color w:val="000000"/>
        </w:rPr>
        <w:t xml:space="preserve"> e incompatibilidades de funcionarios y servidores públicos, así como de las personas que prestan servicios al Estado bajo cualquier modalidad contractual, y su Reglamento aprobado por D.S. Nº 019-2002-PCM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DE LA DECLARATORIA DE DESIERTO, CANCELACIÓN DE LA CONVOCATORIA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Declaratoria de la convocatoria como desierta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convocatoria del procedimiento puede ser declarado desierto por el Comité de Selección CAS en alguno de los siguientes supuestos: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Cuando no se presentan los postulantes a la convocatoria.</w:t>
      </w:r>
    </w:p>
    <w:p w:rsidR="00A259AB" w:rsidRDefault="0014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Cuando ninguno de los postulantes cumpla con los requisitos mínimos.</w:t>
      </w:r>
    </w:p>
    <w:p w:rsidR="00A259AB" w:rsidRDefault="0014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Cuando, habiendo cumplido los requisitos mínimos, ninguno de los postulantes obtenga el puntaje mínimo en las fases de evaluación</w:t>
      </w:r>
      <w:r>
        <w:rPr>
          <w:color w:val="000000"/>
        </w:rPr>
        <w:t xml:space="preserve"> de la convocatoria.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Cancelación de la convocatoria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solicitud del área usuaria, el procedimiento de selección puede ser cancelado y sin que ello genere responsabilidad de la entidad, en alguno de los siguientes supuestos:</w:t>
      </w:r>
    </w:p>
    <w:p w:rsidR="00A259AB" w:rsidRDefault="00A25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259AB" w:rsidRDefault="0014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Cuando desaparece la necesidad del servicio con posterioridad al inicio de la convocatoria.</w:t>
      </w:r>
    </w:p>
    <w:p w:rsidR="00A259AB" w:rsidRDefault="0014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Por restricciones presupuestal.</w:t>
      </w:r>
    </w:p>
    <w:p w:rsidR="00A259AB" w:rsidRDefault="0014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Otros supuestos debidamente justificados.</w:t>
      </w:r>
    </w:p>
    <w:sectPr w:rsidR="00A259AB">
      <w:pgSz w:w="11900" w:h="16820"/>
      <w:pgMar w:top="1418" w:right="1410" w:bottom="1276" w:left="15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7F2"/>
    <w:multiLevelType w:val="multilevel"/>
    <w:tmpl w:val="EFFAE13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570FDD"/>
    <w:multiLevelType w:val="multilevel"/>
    <w:tmpl w:val="6746841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13085327"/>
    <w:multiLevelType w:val="multilevel"/>
    <w:tmpl w:val="A956F46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15D425C8"/>
    <w:multiLevelType w:val="multilevel"/>
    <w:tmpl w:val="547ED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4D4BB4"/>
    <w:multiLevelType w:val="multilevel"/>
    <w:tmpl w:val="0238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50747E"/>
    <w:multiLevelType w:val="multilevel"/>
    <w:tmpl w:val="B9CE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5449D8"/>
    <w:multiLevelType w:val="multilevel"/>
    <w:tmpl w:val="6A385A88"/>
    <w:lvl w:ilvl="0">
      <w:start w:val="1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7" w15:restartNumberingAfterBreak="0">
    <w:nsid w:val="2AD449C3"/>
    <w:multiLevelType w:val="multilevel"/>
    <w:tmpl w:val="0CC0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B56441B"/>
    <w:multiLevelType w:val="multilevel"/>
    <w:tmpl w:val="0B1C93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54F596C"/>
    <w:multiLevelType w:val="multilevel"/>
    <w:tmpl w:val="80247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FC1114D"/>
    <w:multiLevelType w:val="multilevel"/>
    <w:tmpl w:val="C1125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19D57B8"/>
    <w:multiLevelType w:val="multilevel"/>
    <w:tmpl w:val="CAC0BA4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E866F9"/>
    <w:multiLevelType w:val="multilevel"/>
    <w:tmpl w:val="4DD45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2D21349"/>
    <w:multiLevelType w:val="multilevel"/>
    <w:tmpl w:val="2B1654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7150702"/>
    <w:multiLevelType w:val="multilevel"/>
    <w:tmpl w:val="F17CACDE"/>
    <w:lvl w:ilvl="0">
      <w:start w:val="11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604D3938"/>
    <w:multiLevelType w:val="multilevel"/>
    <w:tmpl w:val="95E4E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4F271E1"/>
    <w:multiLevelType w:val="multilevel"/>
    <w:tmpl w:val="48426AE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7" w15:restartNumberingAfterBreak="0">
    <w:nsid w:val="66685EE5"/>
    <w:multiLevelType w:val="multilevel"/>
    <w:tmpl w:val="84B481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736558D"/>
    <w:multiLevelType w:val="multilevel"/>
    <w:tmpl w:val="9168B7C6"/>
    <w:lvl w:ilvl="0">
      <w:start w:val="1"/>
      <w:numFmt w:val="decimal"/>
      <w:lvlText w:val="%1.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B"/>
    <w:rsid w:val="00141279"/>
    <w:rsid w:val="00A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FE526"/>
  <w15:docId w15:val="{BB7D2245-5465-4ECF-9333-97515F1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CA" w:eastAsia="en-CA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rrafodelistaCuadro2-1FootnotePrrafodelista2HaPrrafodelista1TitulodeFguraTITULOA">
    <w:name w:val="Párrafo de lista;Cuadro 2-1;Footnote;Párrafo de lista2;Ha;Párrafo de lista1;Titulo de Fígura;TITULO A"/>
    <w:basedOn w:val="Normal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PrrafodelistaCarCuadro2-1CarFootnoteCarPrrafodelista2CarHaCarPrrafodelista1CarTitulodeFguraCarTITULOACar">
    <w:name w:val="Párrafo de lista Car;Cuadro 2-1 Car;Footnote Car;Párrafo de lista2 Car;Ha Car;Párrafo de lista1 Car;Titulo de Fígura Car;TITULO 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CA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C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CA"/>
    </w:rPr>
  </w:style>
  <w:style w:type="character" w:customStyle="1" w:styleId="Ttulo5Car">
    <w:name w:val="Título 5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scas.conadisperu.gob.pe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m9gNOfLsCFbJFKIV//Tq45RoUA==">AMUW2mXfuQGeAomtXOIFTSlss7ewAkkihsi+JQRlX9PNDBCT3cR9FlMqw2Duu0766z0hHWtmHDcBGzPn8d8sCphdmk9FPnqvKImZPDJiRmq3vJhOqI2inRA=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3588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 Donayre</cp:lastModifiedBy>
  <cp:revision>2</cp:revision>
  <dcterms:created xsi:type="dcterms:W3CDTF">2023-04-15T11:04:00Z</dcterms:created>
  <dcterms:modified xsi:type="dcterms:W3CDTF">2023-04-15T11:04:00Z</dcterms:modified>
</cp:coreProperties>
</file>