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165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8"/>
        <w:gridCol w:w="586"/>
        <w:gridCol w:w="690"/>
        <w:gridCol w:w="310"/>
        <w:gridCol w:w="2101"/>
        <w:gridCol w:w="397"/>
        <w:gridCol w:w="452"/>
        <w:gridCol w:w="3086"/>
      </w:tblGrid>
      <w:tr w:rsidR="00287420" w:rsidRPr="00287420" w14:paraId="2807579E" w14:textId="77777777" w:rsidTr="007B11BA">
        <w:trPr>
          <w:gridAfter w:val="3"/>
          <w:wAfter w:w="3935" w:type="dxa"/>
          <w:trHeight w:val="375"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2EB7B079" w:rsidR="00287420" w:rsidRPr="00287420" w:rsidRDefault="00223023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02</w:t>
            </w:r>
            <w:r w:rsidR="007E4A55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7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7B11B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7B11BA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1F29C" w14:textId="77777777" w:rsidR="004A6562" w:rsidRDefault="004A6562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3247" w14:textId="77777777" w:rsidR="00E92979" w:rsidRDefault="00E92979" w:rsidP="00223023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90688C" w14:textId="77777777" w:rsidR="007E4A55" w:rsidRDefault="007E4A55" w:rsidP="0085338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7F9D5EA" w14:textId="77777777" w:rsidR="00D1091C" w:rsidRDefault="00880800" w:rsidP="0085338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DIRECTOR/A I </w:t>
            </w:r>
          </w:p>
          <w:p w14:paraId="354E5D37" w14:textId="1C48E920" w:rsidR="007E4A55" w:rsidRPr="002C1E55" w:rsidRDefault="007E4A55" w:rsidP="0085338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7B11BA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67702B0A" w:rsidR="00287420" w:rsidRPr="00AA7042" w:rsidRDefault="00880800" w:rsidP="007E4A55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SUBDIRECCIÓN DE </w:t>
            </w:r>
            <w:r w:rsidR="007E4A55">
              <w:rPr>
                <w:rFonts w:asciiTheme="minorHAnsi" w:hAnsiTheme="minorHAnsi"/>
                <w:b/>
                <w:sz w:val="22"/>
                <w:szCs w:val="22"/>
              </w:rPr>
              <w:t xml:space="preserve">INFRACCIÓN </w:t>
            </w:r>
            <w:r w:rsidR="0085338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E4A55">
              <w:rPr>
                <w:rFonts w:asciiTheme="minorHAnsi" w:hAnsiTheme="minorHAnsi"/>
                <w:b/>
                <w:sz w:val="22"/>
                <w:szCs w:val="22"/>
              </w:rPr>
              <w:t>Y SANCIONES</w:t>
            </w:r>
          </w:p>
        </w:tc>
      </w:tr>
      <w:tr w:rsidR="00287420" w:rsidRPr="00287420" w14:paraId="3276BC22" w14:textId="77777777" w:rsidTr="007B11B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7B11BA">
        <w:trPr>
          <w:gridAfter w:val="3"/>
          <w:wAfter w:w="3935" w:type="dxa"/>
          <w:trHeight w:val="300"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7B11B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7B11B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7B11BA">
        <w:trPr>
          <w:gridAfter w:val="3"/>
          <w:wAfter w:w="3935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223023" w:rsidRPr="005D3B24" w14:paraId="61B18534" w14:textId="77777777" w:rsidTr="007B11BA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223023" w:rsidRPr="004B6253" w:rsidRDefault="00223023" w:rsidP="0022302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20AA" w14:textId="0B9E145C" w:rsidR="00A700DA" w:rsidRPr="00A700DA" w:rsidRDefault="00A700DA" w:rsidP="00A700DA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/>
              </w:rPr>
            </w:pPr>
            <w:r w:rsidRPr="00A700DA">
              <w:rPr>
                <w:rFonts w:asciiTheme="minorHAnsi" w:hAnsiTheme="minorHAnsi"/>
              </w:rPr>
              <w:t>VICTOR ALEJANDRO</w:t>
            </w:r>
          </w:p>
          <w:p w14:paraId="4C98E4DB" w14:textId="03870A87" w:rsidR="00223023" w:rsidRPr="00A700DA" w:rsidRDefault="00A700DA" w:rsidP="00A700DA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700DA">
              <w:rPr>
                <w:rFonts w:asciiTheme="minorHAnsi" w:hAnsiTheme="minorHAnsi"/>
                <w:sz w:val="22"/>
                <w:szCs w:val="22"/>
              </w:rPr>
              <w:t>VERA CARBAJAL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6EAB9EC1" w:rsidR="00223023" w:rsidRPr="00A700DA" w:rsidRDefault="00A700DA" w:rsidP="00A700D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A700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26.67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3047D7F6" w:rsidR="00223023" w:rsidRPr="00EF2C07" w:rsidRDefault="007E4A55" w:rsidP="0022302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NO APTO 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5060071D" w14:textId="17984570" w:rsidR="007E4A55" w:rsidRPr="007E4A55" w:rsidRDefault="007E4A55" w:rsidP="007E4A55">
      <w:pPr>
        <w:pStyle w:val="Textoindependiente"/>
        <w:spacing w:before="3"/>
        <w:ind w:left="284" w:right="1132"/>
        <w:rPr>
          <w:rFonts w:asciiTheme="minorHAnsi" w:hAnsiTheme="minorHAnsi"/>
          <w:sz w:val="22"/>
          <w:szCs w:val="22"/>
        </w:rPr>
      </w:pPr>
      <w:r w:rsidRPr="007E4A55">
        <w:rPr>
          <w:rFonts w:asciiTheme="minorHAnsi" w:hAnsiTheme="minorHAnsi"/>
          <w:sz w:val="22"/>
          <w:szCs w:val="22"/>
        </w:rPr>
        <w:t>Para alcanzar la condición de APTO en la etapa de entrevi</w:t>
      </w:r>
      <w:bookmarkStart w:id="0" w:name="_GoBack"/>
      <w:bookmarkEnd w:id="0"/>
      <w:r w:rsidRPr="007E4A55">
        <w:rPr>
          <w:rFonts w:asciiTheme="minorHAnsi" w:hAnsiTheme="minorHAnsi"/>
          <w:sz w:val="22"/>
          <w:szCs w:val="22"/>
        </w:rPr>
        <w:t>sta per</w:t>
      </w:r>
      <w:r>
        <w:rPr>
          <w:rFonts w:asciiTheme="minorHAnsi" w:hAnsiTheme="minorHAnsi"/>
          <w:sz w:val="22"/>
          <w:szCs w:val="22"/>
        </w:rPr>
        <w:t xml:space="preserve">sonal, los postulantes deben </w:t>
      </w:r>
      <w:r w:rsidRPr="007E4A55">
        <w:rPr>
          <w:rFonts w:asciiTheme="minorHAnsi" w:hAnsiTheme="minorHAnsi"/>
          <w:sz w:val="22"/>
          <w:szCs w:val="22"/>
        </w:rPr>
        <w:t xml:space="preserve"> obtener como mínimo el puntaje total de 30 puntos, tal como se indica en el numeral 6.2.3. Etapa de selección literal e.1) de la Directiva 001-2020-CONADIS/PRE.</w:t>
      </w:r>
    </w:p>
    <w:p w14:paraId="0EFDD295" w14:textId="77777777" w:rsidR="007E4A55" w:rsidRPr="007E4A55" w:rsidRDefault="007E4A55" w:rsidP="007E4A55">
      <w:pPr>
        <w:pStyle w:val="Textoindependiente"/>
        <w:spacing w:before="3"/>
        <w:ind w:left="284"/>
        <w:rPr>
          <w:rFonts w:asciiTheme="minorHAnsi" w:hAnsiTheme="minorHAnsi"/>
          <w:sz w:val="22"/>
          <w:szCs w:val="22"/>
        </w:rPr>
      </w:pPr>
    </w:p>
    <w:p w14:paraId="3A8458F3" w14:textId="26F993CB" w:rsidR="007E4A55" w:rsidRPr="007E4A55" w:rsidRDefault="007E4A55" w:rsidP="007E4A55">
      <w:pPr>
        <w:pStyle w:val="Textoindependiente"/>
        <w:spacing w:before="3"/>
        <w:ind w:left="284"/>
        <w:rPr>
          <w:rFonts w:asciiTheme="minorHAnsi" w:hAnsiTheme="minorHAnsi"/>
          <w:sz w:val="22"/>
          <w:szCs w:val="22"/>
        </w:rPr>
      </w:pPr>
      <w:r w:rsidRPr="007E4A55">
        <w:rPr>
          <w:rFonts w:asciiTheme="minorHAnsi" w:hAnsiTheme="minorHAnsi"/>
          <w:sz w:val="22"/>
          <w:szCs w:val="22"/>
        </w:rPr>
        <w:t xml:space="preserve"> En ese sentido, se declara </w:t>
      </w:r>
      <w:r w:rsidRPr="007E4A55">
        <w:rPr>
          <w:rFonts w:asciiTheme="minorHAnsi" w:hAnsiTheme="minorHAnsi"/>
          <w:b/>
          <w:sz w:val="22"/>
          <w:szCs w:val="22"/>
        </w:rPr>
        <w:t>DESIERTO</w:t>
      </w:r>
      <w:r w:rsidRPr="007E4A55">
        <w:rPr>
          <w:rFonts w:asciiTheme="minorHAnsi" w:hAnsiTheme="minorHAnsi"/>
          <w:sz w:val="22"/>
          <w:szCs w:val="22"/>
        </w:rPr>
        <w:t xml:space="preserve"> el proceso CAS N° 027-2021-CONADIS.</w:t>
      </w:r>
    </w:p>
    <w:p w14:paraId="02552C50" w14:textId="77777777" w:rsidR="007E4A55" w:rsidRPr="007E4A55" w:rsidRDefault="007E4A55" w:rsidP="007E4A55">
      <w:pPr>
        <w:pStyle w:val="Textoindependiente"/>
        <w:spacing w:before="3"/>
        <w:ind w:left="284"/>
        <w:rPr>
          <w:rFonts w:asciiTheme="minorHAnsi" w:hAnsiTheme="minorHAnsi"/>
          <w:sz w:val="22"/>
          <w:szCs w:val="22"/>
        </w:rPr>
      </w:pPr>
    </w:p>
    <w:p w14:paraId="772DC88F" w14:textId="77777777" w:rsidR="007E4A55" w:rsidRDefault="007E4A55" w:rsidP="007E4A55">
      <w:r>
        <w:t xml:space="preserve">     </w:t>
      </w:r>
    </w:p>
    <w:p w14:paraId="734D103D" w14:textId="00248204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880800">
        <w:rPr>
          <w:rFonts w:asciiTheme="minorHAnsi" w:hAnsiTheme="minorHAnsi"/>
        </w:rPr>
        <w:t>26</w:t>
      </w:r>
      <w:r w:rsidR="00223023">
        <w:rPr>
          <w:rFonts w:asciiTheme="minorHAnsi" w:hAnsiTheme="minorHAnsi"/>
        </w:rPr>
        <w:t xml:space="preserve"> de abril 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1EDD3-9853-4F7D-B3A1-032C89A8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2021-04-21T00:33:00Z</cp:lastPrinted>
  <dcterms:created xsi:type="dcterms:W3CDTF">2021-04-27T00:39:00Z</dcterms:created>
  <dcterms:modified xsi:type="dcterms:W3CDTF">2021-04-27T00:43:00Z</dcterms:modified>
</cp:coreProperties>
</file>