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105" w14:textId="77777777" w:rsidR="00867F29" w:rsidRPr="0012156D" w:rsidRDefault="00867F29" w:rsidP="0051693C">
      <w:pPr>
        <w:spacing w:line="360" w:lineRule="auto"/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5A7DC8FD" w:rsidR="00867F29" w:rsidRPr="0012156D" w:rsidRDefault="003A496F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0A78580D" w14:textId="5AD29359" w:rsidR="00867F29" w:rsidRPr="00BE4AB9" w:rsidRDefault="007C4971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PROCESO CAS N° 0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41</w:t>
      </w:r>
      <w:r w:rsidR="007C37AC" w:rsidRPr="00BE4AB9">
        <w:rPr>
          <w:rFonts w:asciiTheme="minorHAnsi" w:hAnsiTheme="minorHAnsi"/>
          <w:b/>
          <w:color w:val="000000" w:themeColor="text1"/>
          <w:sz w:val="28"/>
          <w:szCs w:val="28"/>
        </w:rPr>
        <w:t>-202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867F29" w:rsidRPr="00BE4AB9">
        <w:rPr>
          <w:rFonts w:asciiTheme="minorHAnsi" w:hAnsiTheme="minorHAnsi"/>
          <w:b/>
          <w:color w:val="000000" w:themeColor="text1"/>
          <w:sz w:val="28"/>
          <w:szCs w:val="28"/>
        </w:rPr>
        <w:t>-CONADIS</w:t>
      </w:r>
    </w:p>
    <w:p w14:paraId="45D6A2D8" w14:textId="6F56042A" w:rsidR="00867F29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A9D14E4" w14:textId="77777777" w:rsidR="00F83B22" w:rsidRDefault="00F83B22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1C1E1C4F" w:rsidR="008276E8" w:rsidRPr="00BE4AB9" w:rsidRDefault="00867F29" w:rsidP="00BE4A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BE4AB9">
        <w:rPr>
          <w:rFonts w:asciiTheme="minorHAnsi" w:hAnsiTheme="minorHAnsi"/>
          <w:color w:val="000000" w:themeColor="text1"/>
        </w:rPr>
        <w:t>Se comu</w:t>
      </w:r>
      <w:r w:rsidR="00A9265D">
        <w:rPr>
          <w:rFonts w:asciiTheme="minorHAnsi" w:hAnsiTheme="minorHAnsi"/>
          <w:color w:val="000000" w:themeColor="text1"/>
        </w:rPr>
        <w:t xml:space="preserve">nica a los interesados y al </w:t>
      </w:r>
      <w:r w:rsidR="00010524" w:rsidRPr="00BE4AB9">
        <w:rPr>
          <w:rFonts w:asciiTheme="minorHAnsi" w:hAnsiTheme="minorHAnsi"/>
          <w:color w:val="000000" w:themeColor="text1"/>
        </w:rPr>
        <w:t xml:space="preserve">público en general, la cancelación del proceso </w:t>
      </w:r>
      <w:r w:rsidR="00010524" w:rsidRPr="00A9265D">
        <w:rPr>
          <w:rFonts w:asciiTheme="minorHAnsi" w:hAnsiTheme="minorHAnsi"/>
          <w:b/>
          <w:color w:val="000000" w:themeColor="text1"/>
        </w:rPr>
        <w:t xml:space="preserve">CAS </w:t>
      </w:r>
      <w:r w:rsidR="00A61F81" w:rsidRPr="00A9265D">
        <w:rPr>
          <w:rFonts w:asciiTheme="minorHAnsi" w:hAnsiTheme="minorHAnsi"/>
          <w:b/>
          <w:color w:val="000000" w:themeColor="text1"/>
        </w:rPr>
        <w:t xml:space="preserve">N° </w:t>
      </w:r>
      <w:r w:rsidR="000A6E14">
        <w:rPr>
          <w:rFonts w:asciiTheme="minorHAnsi" w:hAnsiTheme="minorHAnsi"/>
          <w:b/>
          <w:color w:val="000000" w:themeColor="text1"/>
        </w:rPr>
        <w:t>0</w:t>
      </w:r>
      <w:r w:rsidR="007803A1">
        <w:rPr>
          <w:rFonts w:asciiTheme="minorHAnsi" w:hAnsiTheme="minorHAnsi"/>
          <w:b/>
          <w:color w:val="000000" w:themeColor="text1"/>
        </w:rPr>
        <w:t>41</w:t>
      </w:r>
      <w:r w:rsidR="007C37AC" w:rsidRPr="00A9265D">
        <w:rPr>
          <w:rFonts w:asciiTheme="minorHAnsi" w:hAnsiTheme="minorHAnsi"/>
          <w:b/>
          <w:color w:val="000000" w:themeColor="text1"/>
        </w:rPr>
        <w:t>-202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A61F81" w:rsidRPr="00A9265D">
        <w:rPr>
          <w:rFonts w:asciiTheme="minorHAnsi" w:hAnsiTheme="minorHAnsi"/>
          <w:b/>
          <w:color w:val="000000" w:themeColor="text1"/>
        </w:rPr>
        <w:t>-CONADIS</w:t>
      </w:r>
      <w:r w:rsidR="00BE4AB9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5E42B7">
        <w:rPr>
          <w:rFonts w:asciiTheme="minorHAnsi" w:hAnsiTheme="minorHAnsi"/>
          <w:b/>
          <w:color w:val="000000" w:themeColor="text1"/>
        </w:rPr>
        <w:t xml:space="preserve">denominado </w:t>
      </w:r>
      <w:r w:rsidR="005E42B7" w:rsidRPr="00A9265D">
        <w:rPr>
          <w:rFonts w:asciiTheme="minorHAnsi" w:hAnsiTheme="minorHAnsi"/>
          <w:b/>
          <w:color w:val="000000" w:themeColor="text1"/>
        </w:rPr>
        <w:t>“</w:t>
      </w:r>
      <w:r w:rsidR="007803A1">
        <w:rPr>
          <w:rFonts w:asciiTheme="minorHAnsi" w:hAnsiTheme="minorHAnsi"/>
          <w:b/>
          <w:color w:val="000000" w:themeColor="text1"/>
        </w:rPr>
        <w:t>Personal de servicios de corte y confección</w:t>
      </w:r>
      <w:r w:rsidR="007C4971">
        <w:rPr>
          <w:rFonts w:asciiTheme="minorHAnsi" w:hAnsiTheme="minorHAnsi"/>
          <w:b/>
          <w:color w:val="000000" w:themeColor="text1"/>
        </w:rPr>
        <w:t>”</w:t>
      </w:r>
      <w:r w:rsidR="00180931">
        <w:rPr>
          <w:rFonts w:asciiTheme="minorHAnsi" w:hAnsiTheme="minorHAnsi"/>
          <w:color w:val="000000" w:themeColor="text1"/>
        </w:rPr>
        <w:t xml:space="preserve"> a la solicitud del área usuaria, mediante </w:t>
      </w:r>
      <w:r w:rsidR="00BE4AB9" w:rsidRPr="00BE4AB9">
        <w:rPr>
          <w:rFonts w:asciiTheme="minorHAnsi" w:hAnsiTheme="minorHAnsi"/>
          <w:color w:val="000000" w:themeColor="text1"/>
        </w:rPr>
        <w:t>Memorando D000</w:t>
      </w:r>
      <w:r w:rsidR="007803A1">
        <w:rPr>
          <w:rFonts w:asciiTheme="minorHAnsi" w:hAnsiTheme="minorHAnsi"/>
          <w:color w:val="000000" w:themeColor="text1"/>
        </w:rPr>
        <w:t>371</w:t>
      </w:r>
      <w:r w:rsidR="00BE4AB9" w:rsidRPr="00BE4AB9">
        <w:rPr>
          <w:rFonts w:asciiTheme="minorHAnsi" w:hAnsiTheme="minorHAnsi"/>
          <w:color w:val="000000" w:themeColor="text1"/>
        </w:rPr>
        <w:t>-202</w:t>
      </w:r>
      <w:r w:rsidR="007803A1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>-CONADIS-D</w:t>
      </w:r>
      <w:r w:rsidR="007803A1">
        <w:rPr>
          <w:rFonts w:asciiTheme="minorHAnsi" w:hAnsiTheme="minorHAnsi"/>
          <w:color w:val="000000" w:themeColor="text1"/>
        </w:rPr>
        <w:t>PPI</w:t>
      </w:r>
      <w:r w:rsidR="00D771D9" w:rsidRPr="00BE4AB9">
        <w:rPr>
          <w:rFonts w:asciiTheme="minorHAnsi" w:hAnsiTheme="minorHAnsi"/>
          <w:color w:val="000000" w:themeColor="text1"/>
        </w:rPr>
        <w:t>;</w:t>
      </w:r>
      <w:r w:rsidR="00BE4AB9" w:rsidRPr="00BE4AB9">
        <w:rPr>
          <w:rFonts w:asciiTheme="minorHAnsi" w:hAnsiTheme="minorHAnsi"/>
          <w:color w:val="000000" w:themeColor="text1"/>
        </w:rPr>
        <w:t xml:space="preserve"> de fecha </w:t>
      </w:r>
      <w:r w:rsidR="007803A1">
        <w:rPr>
          <w:rFonts w:asciiTheme="minorHAnsi" w:hAnsiTheme="minorHAnsi"/>
          <w:color w:val="000000" w:themeColor="text1"/>
        </w:rPr>
        <w:t>0</w:t>
      </w:r>
      <w:r w:rsidR="00507651">
        <w:rPr>
          <w:rFonts w:asciiTheme="minorHAnsi" w:hAnsiTheme="minorHAnsi"/>
          <w:color w:val="000000" w:themeColor="text1"/>
        </w:rPr>
        <w:t>3</w:t>
      </w:r>
      <w:r w:rsidR="00BE4AB9" w:rsidRPr="00BE4AB9">
        <w:rPr>
          <w:rFonts w:asciiTheme="minorHAnsi" w:hAnsiTheme="minorHAnsi"/>
          <w:color w:val="000000" w:themeColor="text1"/>
        </w:rPr>
        <w:t xml:space="preserve"> de </w:t>
      </w:r>
      <w:r w:rsidR="007803A1">
        <w:rPr>
          <w:rFonts w:asciiTheme="minorHAnsi" w:hAnsiTheme="minorHAnsi"/>
          <w:color w:val="000000" w:themeColor="text1"/>
        </w:rPr>
        <w:t>oct</w:t>
      </w:r>
      <w:r w:rsidR="00DA5B28">
        <w:rPr>
          <w:rFonts w:asciiTheme="minorHAnsi" w:hAnsiTheme="minorHAnsi"/>
          <w:color w:val="000000" w:themeColor="text1"/>
        </w:rPr>
        <w:t>ubre</w:t>
      </w:r>
      <w:r w:rsidR="00BE4AB9" w:rsidRPr="00BE4AB9">
        <w:rPr>
          <w:rFonts w:asciiTheme="minorHAnsi" w:hAnsiTheme="minorHAnsi"/>
          <w:color w:val="000000" w:themeColor="text1"/>
        </w:rPr>
        <w:t xml:space="preserve"> de 202</w:t>
      </w:r>
      <w:r w:rsidR="00DA5B28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 xml:space="preserve">, </w:t>
      </w:r>
      <w:r w:rsidR="00180931">
        <w:rPr>
          <w:rFonts w:asciiTheme="minorHAnsi" w:hAnsiTheme="minorHAnsi"/>
          <w:color w:val="000000" w:themeColor="text1"/>
        </w:rPr>
        <w:t xml:space="preserve">por </w:t>
      </w:r>
      <w:r w:rsidR="008E340B">
        <w:rPr>
          <w:rFonts w:asciiTheme="minorHAnsi" w:hAnsiTheme="minorHAnsi"/>
          <w:color w:val="000000" w:themeColor="text1"/>
        </w:rPr>
        <w:t>reformulación</w:t>
      </w:r>
      <w:r w:rsidR="00180931">
        <w:rPr>
          <w:rFonts w:asciiTheme="minorHAnsi" w:hAnsiTheme="minorHAnsi"/>
          <w:color w:val="000000" w:themeColor="text1"/>
        </w:rPr>
        <w:t xml:space="preserve"> del perfil convocado. Dicha cancelación se encuen</w:t>
      </w:r>
      <w:r w:rsidR="007C4971">
        <w:rPr>
          <w:rFonts w:asciiTheme="minorHAnsi" w:hAnsiTheme="minorHAnsi"/>
          <w:color w:val="000000" w:themeColor="text1"/>
        </w:rPr>
        <w:t xml:space="preserve">tra sustentada en el </w:t>
      </w:r>
      <w:r w:rsidR="005E42B7">
        <w:rPr>
          <w:rFonts w:asciiTheme="minorHAnsi" w:hAnsiTheme="minorHAnsi"/>
          <w:color w:val="000000" w:themeColor="text1"/>
        </w:rPr>
        <w:t>numeral 11.2</w:t>
      </w:r>
      <w:r w:rsidR="00180931">
        <w:rPr>
          <w:rFonts w:asciiTheme="minorHAnsi" w:hAnsiTheme="minorHAnsi"/>
          <w:color w:val="000000" w:themeColor="text1"/>
        </w:rPr>
        <w:t xml:space="preserve"> de las </w:t>
      </w:r>
      <w:r w:rsidR="009120F7" w:rsidRPr="00BE4AB9">
        <w:rPr>
          <w:rFonts w:asciiTheme="minorHAnsi" w:hAnsiTheme="minorHAnsi"/>
          <w:color w:val="000000" w:themeColor="text1"/>
        </w:rPr>
        <w:t>bases de la convocatoria</w:t>
      </w:r>
      <w:r w:rsidR="007C4971">
        <w:rPr>
          <w:rFonts w:asciiTheme="minorHAnsi" w:hAnsiTheme="minorHAnsi"/>
          <w:color w:val="000000" w:themeColor="text1"/>
        </w:rPr>
        <w:t>- Otros supuestos debidamente justificados.</w:t>
      </w:r>
    </w:p>
    <w:p w14:paraId="0178446C" w14:textId="5EEBBB19" w:rsidR="009B46C3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B896F9E" w14:textId="6DB81DA7" w:rsidR="00A9265D" w:rsidRPr="00A9265D" w:rsidRDefault="00A9265D" w:rsidP="00A9265D">
      <w:pPr>
        <w:spacing w:line="360" w:lineRule="auto"/>
        <w:jc w:val="both"/>
        <w:rPr>
          <w:rFonts w:asciiTheme="minorHAnsi" w:hAnsiTheme="minorHAnsi"/>
          <w:b/>
        </w:rPr>
      </w:pPr>
      <w:r w:rsidRPr="00A9265D">
        <w:rPr>
          <w:rFonts w:asciiTheme="minorHAnsi" w:hAnsiTheme="minorHAnsi"/>
          <w:b/>
        </w:rPr>
        <w:t>DE LA DECLARATORIA DE DESIERTO</w:t>
      </w:r>
      <w:r w:rsidR="00E16504">
        <w:rPr>
          <w:rFonts w:asciiTheme="minorHAnsi" w:hAnsiTheme="minorHAnsi"/>
          <w:b/>
        </w:rPr>
        <w:t>, CANCELACIÓN DE LA CONVOCATORIA</w:t>
      </w:r>
    </w:p>
    <w:p w14:paraId="15A5BD94" w14:textId="138DBE04" w:rsidR="00E16504" w:rsidRPr="00E16504" w:rsidRDefault="007C4971" w:rsidP="00E16504">
      <w:pPr>
        <w:spacing w:line="360" w:lineRule="auto"/>
        <w:jc w:val="both"/>
        <w:rPr>
          <w:rFonts w:asciiTheme="minorHAnsi" w:hAnsiTheme="minorHAnsi" w:cs="Arial"/>
          <w:b/>
          <w:lang w:val="es-PE"/>
        </w:rPr>
      </w:pPr>
      <w:r>
        <w:rPr>
          <w:rFonts w:asciiTheme="minorHAnsi" w:hAnsiTheme="minorHAnsi"/>
          <w:b/>
        </w:rPr>
        <w:t>11.2</w:t>
      </w:r>
      <w:r w:rsidR="00A9265D" w:rsidRPr="00E16504">
        <w:rPr>
          <w:rFonts w:asciiTheme="minorHAnsi" w:hAnsiTheme="minorHAnsi"/>
        </w:rPr>
        <w:t xml:space="preserve"> </w:t>
      </w:r>
      <w:r w:rsidR="00E16504">
        <w:rPr>
          <w:rFonts w:asciiTheme="minorHAnsi" w:hAnsiTheme="minorHAnsi"/>
        </w:rPr>
        <w:t xml:space="preserve"> </w:t>
      </w:r>
      <w:r w:rsidR="00E16504" w:rsidRPr="00E16504">
        <w:rPr>
          <w:rFonts w:asciiTheme="minorHAnsi" w:hAnsiTheme="minorHAnsi" w:cs="Arial"/>
          <w:b/>
          <w:lang w:val="es-PE"/>
        </w:rPr>
        <w:t>Cancelación de la convocatoria</w:t>
      </w:r>
    </w:p>
    <w:p w14:paraId="0610F8D3" w14:textId="77777777" w:rsidR="00E16504" w:rsidRPr="00E16504" w:rsidRDefault="00E16504" w:rsidP="00E16504">
      <w:pPr>
        <w:pStyle w:val="Sinespaciado"/>
        <w:ind w:left="567"/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A solicitud del área usuaria, el procedimiento de selección puede ser cancelado y sin que ello genere responsabilidad de la entidad, en alguno de los siguientes supuestos:</w:t>
      </w:r>
    </w:p>
    <w:p w14:paraId="542667F4" w14:textId="77777777" w:rsidR="00E16504" w:rsidRPr="00E16504" w:rsidRDefault="00E16504" w:rsidP="00E16504">
      <w:pPr>
        <w:pStyle w:val="Sinespaciado"/>
        <w:ind w:firstLine="567"/>
        <w:jc w:val="both"/>
        <w:rPr>
          <w:rFonts w:asciiTheme="minorHAnsi" w:hAnsiTheme="minorHAnsi"/>
          <w:sz w:val="24"/>
          <w:szCs w:val="24"/>
          <w:lang w:val="es-PE"/>
        </w:rPr>
      </w:pPr>
    </w:p>
    <w:p w14:paraId="606EE969" w14:textId="7D7605B8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 xml:space="preserve">Cuando desaparece la necesidad del servicio con posterioridad al inicio de la </w:t>
      </w:r>
      <w:r>
        <w:rPr>
          <w:rFonts w:asciiTheme="minorHAnsi" w:hAnsiTheme="minorHAnsi"/>
          <w:sz w:val="24"/>
          <w:szCs w:val="24"/>
          <w:lang w:val="es-PE"/>
        </w:rPr>
        <w:t xml:space="preserve">      </w:t>
      </w:r>
      <w:r w:rsidRPr="00E16504">
        <w:rPr>
          <w:rFonts w:asciiTheme="minorHAnsi" w:hAnsiTheme="minorHAnsi"/>
          <w:sz w:val="24"/>
          <w:szCs w:val="24"/>
          <w:lang w:val="es-PE"/>
        </w:rPr>
        <w:t>convocatoria.</w:t>
      </w:r>
    </w:p>
    <w:p w14:paraId="19FD3EF5" w14:textId="1EF71143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Por restricciones presupuestal</w:t>
      </w:r>
      <w:r w:rsidR="00177ACA">
        <w:rPr>
          <w:rFonts w:asciiTheme="minorHAnsi" w:hAnsiTheme="minorHAnsi"/>
          <w:sz w:val="24"/>
          <w:szCs w:val="24"/>
          <w:lang w:val="es-PE"/>
        </w:rPr>
        <w:t>es</w:t>
      </w:r>
      <w:r w:rsidRPr="00E16504">
        <w:rPr>
          <w:rFonts w:asciiTheme="minorHAnsi" w:hAnsiTheme="minorHAnsi"/>
          <w:sz w:val="24"/>
          <w:szCs w:val="24"/>
          <w:lang w:val="es-PE"/>
        </w:rPr>
        <w:t>.</w:t>
      </w:r>
    </w:p>
    <w:p w14:paraId="2365005E" w14:textId="075E068B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Otros supuestos debidamente justificados.</w:t>
      </w:r>
    </w:p>
    <w:p w14:paraId="6AE7E065" w14:textId="77777777" w:rsidR="009B46C3" w:rsidRPr="00E16504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B2D1B04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32A3143E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4D699639" w14:textId="584FBD67" w:rsidR="00867F29" w:rsidRPr="00E16504" w:rsidRDefault="0001296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E16504">
        <w:rPr>
          <w:rFonts w:asciiTheme="minorHAnsi" w:hAnsiTheme="minorHAnsi"/>
          <w:color w:val="000000" w:themeColor="text1"/>
        </w:rPr>
        <w:t>Lima,</w:t>
      </w:r>
      <w:r w:rsidR="008B0E2A" w:rsidRPr="00E16504">
        <w:rPr>
          <w:rFonts w:asciiTheme="minorHAnsi" w:hAnsiTheme="minorHAnsi"/>
          <w:color w:val="000000" w:themeColor="text1"/>
        </w:rPr>
        <w:t xml:space="preserve"> </w:t>
      </w:r>
      <w:r w:rsidR="00DA5B28">
        <w:rPr>
          <w:rFonts w:asciiTheme="minorHAnsi" w:hAnsiTheme="minorHAnsi"/>
          <w:color w:val="000000" w:themeColor="text1"/>
        </w:rPr>
        <w:t>04</w:t>
      </w:r>
      <w:r w:rsidR="00BE4AB9" w:rsidRPr="00E16504">
        <w:rPr>
          <w:rFonts w:asciiTheme="minorHAnsi" w:hAnsiTheme="minorHAnsi"/>
          <w:color w:val="000000" w:themeColor="text1"/>
        </w:rPr>
        <w:t xml:space="preserve"> de </w:t>
      </w:r>
      <w:r w:rsidR="00DA5B28">
        <w:rPr>
          <w:rFonts w:asciiTheme="minorHAnsi" w:hAnsiTheme="minorHAnsi"/>
          <w:color w:val="000000" w:themeColor="text1"/>
        </w:rPr>
        <w:t>octubre</w:t>
      </w:r>
      <w:r w:rsidR="007C4971">
        <w:rPr>
          <w:rFonts w:asciiTheme="minorHAnsi" w:hAnsiTheme="minorHAnsi"/>
          <w:color w:val="000000" w:themeColor="text1"/>
        </w:rPr>
        <w:t xml:space="preserve"> d</w:t>
      </w:r>
      <w:r w:rsidR="00BE4AB9" w:rsidRPr="00E16504">
        <w:rPr>
          <w:rFonts w:asciiTheme="minorHAnsi" w:hAnsiTheme="minorHAnsi"/>
          <w:color w:val="000000" w:themeColor="text1"/>
        </w:rPr>
        <w:t>e 202</w:t>
      </w:r>
      <w:r w:rsidR="00DA5B28">
        <w:rPr>
          <w:rFonts w:asciiTheme="minorHAnsi" w:hAnsiTheme="minorHAnsi"/>
          <w:color w:val="000000" w:themeColor="text1"/>
        </w:rPr>
        <w:t>4</w:t>
      </w:r>
      <w:r w:rsidR="00867F29" w:rsidRPr="00E16504">
        <w:rPr>
          <w:rFonts w:asciiTheme="minorHAnsi" w:hAnsiTheme="minorHAnsi"/>
          <w:color w:val="000000" w:themeColor="text1"/>
        </w:rPr>
        <w:t>.</w:t>
      </w:r>
    </w:p>
    <w:p w14:paraId="42DA1840" w14:textId="77777777" w:rsidR="00E676DF" w:rsidRPr="0012156D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7"/>
      <w:footerReference w:type="default" r:id="rId8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408C" w14:textId="77777777" w:rsidR="00957FA7" w:rsidRDefault="00957FA7">
      <w:r>
        <w:separator/>
      </w:r>
    </w:p>
  </w:endnote>
  <w:endnote w:type="continuationSeparator" w:id="0">
    <w:p w14:paraId="74C48D8A" w14:textId="77777777" w:rsidR="00957FA7" w:rsidRDefault="0095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957FA7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957FA7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63843734" w14:textId="77777777" w:rsidR="009657A1" w:rsidRDefault="00C477F8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C477F8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957FA7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C477F8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02AD" w14:textId="77777777" w:rsidR="00957FA7" w:rsidRDefault="00957FA7">
      <w:r>
        <w:separator/>
      </w:r>
    </w:p>
  </w:footnote>
  <w:footnote w:type="continuationSeparator" w:id="0">
    <w:p w14:paraId="68302DE0" w14:textId="77777777" w:rsidR="00957FA7" w:rsidRDefault="0095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2B406" w14:textId="77777777" w:rsidR="00B4365E" w:rsidRDefault="00957FA7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2D2560A3" w14:textId="77777777" w:rsidR="007803A1" w:rsidRDefault="007803A1" w:rsidP="007803A1">
    <w:pPr>
      <w:pStyle w:val="Puesto"/>
      <w:rPr>
        <w:rFonts w:asciiTheme="minorHAnsi" w:hAnsiTheme="minorHAnsi" w:cstheme="minorHAnsi"/>
        <w:sz w:val="18"/>
        <w:szCs w:val="22"/>
        <w:u w:val="none"/>
      </w:rPr>
    </w:pPr>
    <w:r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“Decenio de la Igualdad de Oportunidades para mujeres y hombres”</w:t>
    </w:r>
  </w:p>
  <w:p w14:paraId="0DF9124D" w14:textId="77777777" w:rsidR="007803A1" w:rsidRDefault="007803A1" w:rsidP="007803A1">
    <w:pPr>
      <w:pStyle w:val="Encabezado"/>
      <w:tabs>
        <w:tab w:val="left" w:pos="708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color w:val="808080"/>
        <w:sz w:val="18"/>
        <w:lang w:val="es-PE"/>
      </w:rPr>
      <w:t>“Año del Bicentenario, de la consolidación de nuestra Independencia, y de la conmemoración de las heroicas batallas de Junín y Ayacucho”</w:t>
    </w:r>
  </w:p>
  <w:p w14:paraId="32DDFEB1" w14:textId="079D0069" w:rsidR="00B4365E" w:rsidRPr="009657A1" w:rsidRDefault="00957FA7" w:rsidP="007803A1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7ED"/>
    <w:multiLevelType w:val="multilevel"/>
    <w:tmpl w:val="0A5A5E5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FB6DE7"/>
    <w:multiLevelType w:val="hybridMultilevel"/>
    <w:tmpl w:val="0EEE45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016"/>
    <w:multiLevelType w:val="hybridMultilevel"/>
    <w:tmpl w:val="BBD45EB8"/>
    <w:lvl w:ilvl="0" w:tplc="AD169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2963">
    <w:abstractNumId w:val="0"/>
  </w:num>
  <w:num w:numId="2" w16cid:durableId="905653548">
    <w:abstractNumId w:val="1"/>
  </w:num>
  <w:num w:numId="3" w16cid:durableId="170644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29"/>
    <w:rsid w:val="00010524"/>
    <w:rsid w:val="00012963"/>
    <w:rsid w:val="00015C0B"/>
    <w:rsid w:val="00054824"/>
    <w:rsid w:val="000A6110"/>
    <w:rsid w:val="000A6E14"/>
    <w:rsid w:val="000F2354"/>
    <w:rsid w:val="00113686"/>
    <w:rsid w:val="0012156D"/>
    <w:rsid w:val="0017492F"/>
    <w:rsid w:val="00177ACA"/>
    <w:rsid w:val="00180931"/>
    <w:rsid w:val="00185608"/>
    <w:rsid w:val="001B6C7A"/>
    <w:rsid w:val="00251BA3"/>
    <w:rsid w:val="002D2D7D"/>
    <w:rsid w:val="00345EF1"/>
    <w:rsid w:val="00350BC9"/>
    <w:rsid w:val="003A496F"/>
    <w:rsid w:val="003E53EC"/>
    <w:rsid w:val="00440564"/>
    <w:rsid w:val="00445217"/>
    <w:rsid w:val="004656D0"/>
    <w:rsid w:val="0046720C"/>
    <w:rsid w:val="00507651"/>
    <w:rsid w:val="0051693C"/>
    <w:rsid w:val="005E42B7"/>
    <w:rsid w:val="0062795D"/>
    <w:rsid w:val="00691529"/>
    <w:rsid w:val="006953EF"/>
    <w:rsid w:val="006A5D17"/>
    <w:rsid w:val="006C3EC4"/>
    <w:rsid w:val="006C6531"/>
    <w:rsid w:val="0071573A"/>
    <w:rsid w:val="00717C45"/>
    <w:rsid w:val="007428F6"/>
    <w:rsid w:val="00746B9D"/>
    <w:rsid w:val="007803A1"/>
    <w:rsid w:val="00780504"/>
    <w:rsid w:val="007A7CC0"/>
    <w:rsid w:val="007C37AC"/>
    <w:rsid w:val="007C4971"/>
    <w:rsid w:val="008276E8"/>
    <w:rsid w:val="00867F29"/>
    <w:rsid w:val="00875873"/>
    <w:rsid w:val="008B0E2A"/>
    <w:rsid w:val="008C20B9"/>
    <w:rsid w:val="008E340B"/>
    <w:rsid w:val="00907B0D"/>
    <w:rsid w:val="009120F7"/>
    <w:rsid w:val="00957FA7"/>
    <w:rsid w:val="00962B67"/>
    <w:rsid w:val="0097731C"/>
    <w:rsid w:val="009A7CAC"/>
    <w:rsid w:val="009B46C3"/>
    <w:rsid w:val="00A068E3"/>
    <w:rsid w:val="00A61F81"/>
    <w:rsid w:val="00A714A7"/>
    <w:rsid w:val="00A9265D"/>
    <w:rsid w:val="00A9480A"/>
    <w:rsid w:val="00A95659"/>
    <w:rsid w:val="00A96B7F"/>
    <w:rsid w:val="00AC3C6A"/>
    <w:rsid w:val="00AC52B3"/>
    <w:rsid w:val="00B04CDB"/>
    <w:rsid w:val="00B23222"/>
    <w:rsid w:val="00B83E38"/>
    <w:rsid w:val="00BE4AB9"/>
    <w:rsid w:val="00C20E4A"/>
    <w:rsid w:val="00C477F8"/>
    <w:rsid w:val="00C628F4"/>
    <w:rsid w:val="00D771D9"/>
    <w:rsid w:val="00D95D5C"/>
    <w:rsid w:val="00DA5B28"/>
    <w:rsid w:val="00DB39E6"/>
    <w:rsid w:val="00DC5102"/>
    <w:rsid w:val="00E16504"/>
    <w:rsid w:val="00E676DF"/>
    <w:rsid w:val="00EA1BF2"/>
    <w:rsid w:val="00EB5C90"/>
    <w:rsid w:val="00EC3120"/>
    <w:rsid w:val="00EE4068"/>
    <w:rsid w:val="00EF5605"/>
    <w:rsid w:val="00F565AE"/>
    <w:rsid w:val="00F569AB"/>
    <w:rsid w:val="00F83B22"/>
    <w:rsid w:val="00F90BA2"/>
    <w:rsid w:val="00FC08F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  <w:style w:type="character" w:customStyle="1" w:styleId="TtuloCar">
    <w:name w:val="Título Car"/>
    <w:link w:val="Puesto"/>
    <w:locked/>
    <w:rsid w:val="007803A1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customStyle="1" w:styleId="Puesto">
    <w:name w:val="Puesto"/>
    <w:basedOn w:val="Normal"/>
    <w:next w:val="Subttulo"/>
    <w:link w:val="TtuloCar"/>
    <w:qFormat/>
    <w:rsid w:val="007803A1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3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03A1"/>
    <w:rPr>
      <w:rFonts w:eastAsiaTheme="minorEastAsia"/>
      <w:color w:val="5A5A5A" w:themeColor="text1" w:themeTint="A5"/>
      <w:spacing w:val="15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Luis Eduardo Rivadeneyra Arbieto</cp:lastModifiedBy>
  <cp:revision>9</cp:revision>
  <cp:lastPrinted>2021-01-26T02:59:00Z</cp:lastPrinted>
  <dcterms:created xsi:type="dcterms:W3CDTF">2024-10-04T14:36:00Z</dcterms:created>
  <dcterms:modified xsi:type="dcterms:W3CDTF">2024-10-04T20:33:00Z</dcterms:modified>
</cp:coreProperties>
</file>